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651"/>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竞争性谈判文件</w:t>
      </w:r>
      <w:r>
        <w:rPr>
          <w:rFonts w:hint="eastAsia" w:ascii="黑体" w:hAnsi="黑体" w:eastAsia="黑体"/>
          <w:b/>
          <w:sz w:val="72"/>
          <w:szCs w:val="72"/>
          <w:highlight w:val="none"/>
        </w:rPr>
      </w:r>
      <w:r/>
    </w:p>
    <w:p>
      <w:pPr>
        <w:pStyle w:val="651"/>
        <w:ind w:firstLine="2862"/>
        <w:rPr>
          <w:rFonts w:hint="eastAsia" w:ascii="宋体" w:hAnsi="宋体"/>
          <w:bCs/>
          <w:sz w:val="36"/>
          <w:highlight w:val="none"/>
        </w:rPr>
      </w:pPr>
      <w:r>
        <w:rPr>
          <w:rFonts w:hint="eastAsia" w:ascii="宋体" w:hAnsi="宋体"/>
          <w:bCs/>
          <w:sz w:val="36"/>
          <w:highlight w:val="none"/>
        </w:rPr>
      </w:r>
      <w:r/>
    </w:p>
    <w:p>
      <w:pPr>
        <w:pStyle w:val="651"/>
        <w:ind w:firstLine="2862"/>
        <w:rPr>
          <w:rFonts w:hint="eastAsia" w:ascii="宋体" w:hAnsi="宋体"/>
          <w:bCs/>
          <w:sz w:val="36"/>
          <w:highlight w:val="none"/>
        </w:rPr>
      </w:pPr>
      <w:r>
        <w:rPr>
          <w:rFonts w:hint="eastAsia" w:ascii="宋体" w:hAnsi="宋体"/>
          <w:bCs/>
          <w:sz w:val="36"/>
          <w:highlight w:val="none"/>
        </w:rPr>
      </w:r>
      <w:r/>
    </w:p>
    <w:p>
      <w:pPr>
        <w:pStyle w:val="651"/>
        <w:ind w:firstLine="2862"/>
        <w:rPr>
          <w:rFonts w:hint="eastAsia" w:ascii="宋体" w:hAnsi="宋体"/>
          <w:bCs/>
          <w:sz w:val="36"/>
          <w:highlight w:val="none"/>
        </w:rPr>
      </w:pPr>
      <w:r>
        <w:rPr>
          <w:rFonts w:hint="eastAsia" w:ascii="宋体" w:hAnsi="宋体"/>
          <w:bCs/>
          <w:sz w:val="36"/>
          <w:highlight w:val="none"/>
        </w:rPr>
      </w:r>
      <w:r/>
    </w:p>
    <w:p>
      <w:pPr>
        <w:pStyle w:val="651"/>
        <w:ind w:firstLine="716"/>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盱眙县融媒体中心</w:t>
      </w:r>
      <w:r>
        <w:rPr>
          <w:rFonts w:hint="eastAsia" w:ascii="黑体" w:hAnsi="黑体" w:eastAsia="黑体"/>
          <w:b/>
          <w:sz w:val="36"/>
          <w:szCs w:val="36"/>
          <w:highlight w:val="none"/>
        </w:rPr>
        <w:t xml:space="preserve">2026-2027年度报纸印刷及运输投递服务项目 </w:t>
      </w:r>
      <w:r>
        <w:rPr>
          <w:rFonts w:hint="eastAsia" w:ascii="黑体" w:hAnsi="黑体" w:eastAsia="黑体"/>
          <w:b/>
          <w:sz w:val="36"/>
          <w:szCs w:val="36"/>
          <w:highlight w:val="none"/>
        </w:rPr>
      </w:r>
      <w:r/>
    </w:p>
    <w:p>
      <w:pPr>
        <w:pStyle w:val="651"/>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51"/>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51"/>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51"/>
        <w:ind w:firstLine="716"/>
        <w:spacing w:line="760" w:lineRule="exact"/>
        <w:rPr>
          <w:rFonts w:ascii="黑体" w:hAnsi="黑体" w:eastAsia="黑体"/>
          <w:b/>
          <w:sz w:val="36"/>
          <w:highlight w:val="none"/>
        </w:rPr>
      </w:pPr>
      <w:r>
        <w:rPr>
          <w:rFonts w:hint="eastAsia" w:ascii="黑体" w:hAnsi="黑体" w:eastAsia="黑体"/>
          <w:b/>
          <w:sz w:val="36"/>
          <w:highlight w:val="none"/>
        </w:rPr>
        <w:t xml:space="preserve">项目编号: JSZC-320830-JZCG-T2025-0015 </w:t>
      </w:r>
      <w:r>
        <w:rPr>
          <w:rFonts w:ascii="黑体" w:hAnsi="黑体" w:eastAsia="黑体"/>
          <w:b/>
          <w:sz w:val="36"/>
          <w:highlight w:val="none"/>
        </w:rPr>
      </w:r>
      <w:r/>
    </w:p>
    <w:p>
      <w:pPr>
        <w:pStyle w:val="651"/>
        <w:ind w:left="-359" w:firstLine="360"/>
        <w:rPr>
          <w:rFonts w:ascii="黑体" w:hAnsi="黑体" w:eastAsia="黑体"/>
          <w:b/>
          <w:sz w:val="32"/>
          <w:highlight w:val="none"/>
        </w:rPr>
      </w:pPr>
      <w:r>
        <w:rPr>
          <w:rFonts w:ascii="黑体" w:hAnsi="黑体" w:eastAsia="黑体"/>
          <w:b/>
          <w:sz w:val="32"/>
          <w:highlight w:val="none"/>
        </w:rPr>
      </w:r>
      <w:r/>
    </w:p>
    <w:p>
      <w:pPr>
        <w:pStyle w:val="651"/>
        <w:rPr>
          <w:rFonts w:ascii="黑体" w:hAnsi="黑体" w:eastAsia="黑体"/>
          <w:b/>
          <w:sz w:val="32"/>
          <w:highlight w:val="none"/>
        </w:rPr>
      </w:pPr>
      <w:r>
        <w:rPr>
          <w:rFonts w:ascii="黑体" w:hAnsi="黑体" w:eastAsia="黑体"/>
          <w:b/>
          <w:sz w:val="32"/>
          <w:highlight w:val="none"/>
        </w:rPr>
      </w:r>
      <w:r/>
    </w:p>
    <w:p>
      <w:pPr>
        <w:pStyle w:val="651"/>
        <w:rPr>
          <w:rFonts w:hint="eastAsia" w:ascii="黑体" w:hAnsi="黑体" w:eastAsia="黑体"/>
          <w:b/>
          <w:sz w:val="32"/>
          <w:highlight w:val="none"/>
        </w:rPr>
      </w:pPr>
      <w:r>
        <w:rPr>
          <w:rFonts w:hint="eastAsia" w:ascii="黑体" w:hAnsi="黑体" w:eastAsia="黑体"/>
          <w:b/>
          <w:sz w:val="32"/>
          <w:highlight w:val="none"/>
        </w:rPr>
      </w:r>
      <w:r/>
    </w:p>
    <w:p>
      <w:pPr>
        <w:pStyle w:val="651"/>
        <w:rPr>
          <w:rFonts w:hint="eastAsia" w:ascii="黑体" w:hAnsi="黑体" w:eastAsia="黑体"/>
          <w:b/>
          <w:sz w:val="32"/>
          <w:highlight w:val="none"/>
        </w:rPr>
      </w:pPr>
      <w:r>
        <w:rPr>
          <w:rFonts w:hint="eastAsia" w:ascii="黑体" w:hAnsi="黑体" w:eastAsia="黑体"/>
          <w:b/>
          <w:sz w:val="32"/>
          <w:highlight w:val="none"/>
        </w:rPr>
      </w:r>
      <w:r/>
    </w:p>
    <w:p>
      <w:pPr>
        <w:pStyle w:val="651"/>
        <w:ind w:firstLine="2523"/>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eastAsia="zh-CN"/>
        </w:rPr>
        <w:t xml:space="preserve">淮安市公共资源交易中心盱眙分中心</w:t>
      </w:r>
      <w:r>
        <w:rPr>
          <w:rFonts w:hint="eastAsia" w:ascii="黑体" w:hAnsi="黑体" w:eastAsia="黑体"/>
          <w:b/>
          <w:sz w:val="36"/>
          <w:szCs w:val="36"/>
          <w:highlight w:val="none"/>
          <w:u w:val="single"/>
          <w:lang w:eastAsia="zh-CN"/>
        </w:rPr>
      </w:r>
      <w:r/>
    </w:p>
    <w:p>
      <w:pPr>
        <w:pStyle w:val="651"/>
        <w:ind w:firstLine="2692"/>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r>
      <w:r/>
    </w:p>
    <w:p>
      <w:pPr>
        <w:pStyle w:val="651"/>
        <w:ind w:firstLine="2692"/>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val="en-US" w:eastAsia="zh-CN"/>
        </w:rPr>
        <w:t xml:space="preserve">五</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十一</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二十七</w:t>
      </w:r>
      <w:r>
        <w:rPr>
          <w:rFonts w:hint="eastAsia" w:ascii="黑体" w:hAnsi="黑体" w:eastAsia="黑体"/>
          <w:b/>
          <w:sz w:val="36"/>
          <w:szCs w:val="36"/>
          <w:highlight w:val="none"/>
        </w:rPr>
        <w:t xml:space="preserve">日</w:t>
      </w:r>
      <w:r>
        <w:rPr>
          <w:rFonts w:ascii="黑体" w:hAnsi="黑体" w:eastAsia="黑体"/>
          <w:b/>
          <w:sz w:val="36"/>
          <w:szCs w:val="36"/>
          <w:highlight w:val="none"/>
        </w:rPr>
        <w:tab/>
      </w:r>
      <w:r>
        <w:rPr>
          <w:rFonts w:hint="eastAsia" w:ascii="黑体" w:hAnsi="黑体" w:eastAsia="黑体"/>
          <w:b/>
          <w:sz w:val="36"/>
          <w:szCs w:val="36"/>
          <w:highlight w:val="none"/>
        </w:rPr>
      </w:r>
      <w:r/>
    </w:p>
    <w:p>
      <w:pPr>
        <w:pStyle w:val="651"/>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pStyle w:val="651"/>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谈判邀请</w:t>
      </w:r>
      <w:r>
        <w:rPr>
          <w:rFonts w:hint="eastAsia" w:ascii="仿宋" w:hAnsi="仿宋" w:eastAsia="仿宋"/>
          <w:b/>
          <w:bCs/>
          <w:sz w:val="36"/>
          <w:szCs w:val="36"/>
          <w:highlight w:val="none"/>
        </w:rPr>
      </w:r>
      <w:r/>
    </w:p>
    <w:p>
      <w:pPr>
        <w:pStyle w:val="651"/>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盱眙县融媒体中心</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，淮安市公共资源交易中心盱眙分中心</w:t>
      </w:r>
      <w:r>
        <w:rPr>
          <w:rFonts w:hint="eastAsia" w:ascii="仿宋" w:hAnsi="仿宋" w:eastAsia="仿宋"/>
          <w:sz w:val="28"/>
          <w:highlight w:val="none"/>
        </w:rPr>
        <w:t xml:space="preserve">就2026-2027年度报纸印刷及运输投递服务政府采购项目进行竞争性谈判采购，现邀请符合条件的供应商参加竞争性谈判。</w:t>
      </w:r>
      <w:r>
        <w:rPr>
          <w:rFonts w:ascii="仿宋" w:hAnsi="仿宋" w:eastAsia="仿宋"/>
          <w:sz w:val="28"/>
          <w:highlight w:val="none"/>
        </w:rPr>
      </w:r>
      <w:r/>
    </w:p>
    <w:p>
      <w:pPr>
        <w:pStyle w:val="651"/>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74371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743710"/>
                        </a:xfrm>
                        <a:prstGeom prst="rect">
                          <a:avLst/>
                        </a:prstGeom>
                        <a:solidFill>
                          <a:srgbClr val="FFFFFF"/>
                        </a:solidFill>
                        <a:ln>
                          <a:solidFill>
                            <a:srgbClr val="000000"/>
                          </a:solidFill>
                        </a:ln>
                      </wps:spPr>
                      <wps:txbx>
                        <w:txbxContent>
                          <w:p>
                            <w:pPr>
                              <w:pStyle w:val="651"/>
                              <w:ind w:firstLine="548"/>
                              <w:spacing w:line="520" w:lineRule="exact"/>
                              <w:rPr>
                                <w:rFonts w:hint="eastAsia" w:ascii="仿宋" w:hAnsi="仿宋" w:eastAsia="仿宋" w:cs="Times New Roman"/>
                                <w:sz w:val="28"/>
                              </w:rPr>
                            </w:pPr>
                            <w:r>
                              <w:rPr>
                                <w:rFonts w:hint="eastAsia" w:ascii="仿宋" w:hAnsi="仿宋" w:eastAsia="仿宋" w:cs="Times New Roman"/>
                                <w:sz w:val="28"/>
                                <w:lang w:eastAsia="zh-CN"/>
                              </w:rPr>
                              <w:t xml:space="preserve">盱眙县融媒体中心</w:t>
                            </w:r>
                            <w:r>
                              <w:rPr>
                                <w:rFonts w:hint="eastAsia" w:ascii="仿宋" w:hAnsi="仿宋" w:eastAsia="仿宋" w:cs="Times New Roman"/>
                                <w:sz w:val="28"/>
                              </w:rPr>
                              <w:t xml:space="preserve">2026-2027年度报纸印刷及运输投递服务项目潜在供应商登录江苏省政府采购网或者淮安市政府采购网，在网站首页点击“苏采云”→使用CA锁登录系统（新用户需进行“平台用户注册”）→“项目参与”进行登记，在“可参与项目”中选择“我要参与”，参与成功后自行免费下载询价通知书，并于2025年12月</w:t>
                            </w:r>
                            <w:r>
                              <w:rPr>
                                <w:rFonts w:hint="eastAsia" w:ascii="仿宋" w:hAnsi="仿宋" w:eastAsia="仿宋" w:cs="Times New Roman"/>
                                <w:sz w:val="28"/>
                                <w:lang w:val="en-US" w:eastAsia="zh-CN"/>
                              </w:rPr>
                              <w:t xml:space="preserve">05</w:t>
                            </w:r>
                            <w:r>
                              <w:rPr>
                                <w:rFonts w:hint="eastAsia" w:ascii="仿宋" w:hAnsi="仿宋" w:eastAsia="仿宋" w:cs="Times New Roman"/>
                                <w:sz w:val="28"/>
                              </w:rPr>
                              <w:t xml:space="preserve">日9时00分（北京时间）前递交响应文件</w:t>
                            </w:r>
                            <w:r>
                              <w:rPr>
                                <w:rFonts w:hint="eastAsia" w:ascii="仿宋" w:hAnsi="仿宋" w:eastAsia="仿宋" w:cs="Times New Roman"/>
                                <w:sz w:val="28"/>
                              </w:rPr>
                            </w:r>
                            <w:r/>
                          </w:p>
                          <w:p>
                            <w:pPr>
                              <w:pStyle w:val="651"/>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37.3pt;mso-wrap-distance-left:9.0pt;mso-wrap-distance-top:0.0pt;mso-wrap-distance-right:9.0pt;mso-wrap-distance-bottom:0.0pt;visibility:visible;" fillcolor="#FFFFFF" strokecolor="#000000">
                <v:textbox inset="0,0,0,0">
                  <w:txbxContent>
                    <w:p>
                      <w:pPr>
                        <w:pStyle w:val="651"/>
                        <w:ind w:firstLine="548"/>
                        <w:spacing w:line="520" w:lineRule="exact"/>
                        <w:rPr>
                          <w:rFonts w:hint="eastAsia" w:ascii="仿宋" w:hAnsi="仿宋" w:eastAsia="仿宋" w:cs="Times New Roman"/>
                          <w:sz w:val="28"/>
                        </w:rPr>
                      </w:pPr>
                      <w:r>
                        <w:rPr>
                          <w:rFonts w:hint="eastAsia" w:ascii="仿宋" w:hAnsi="仿宋" w:eastAsia="仿宋" w:cs="Times New Roman"/>
                          <w:sz w:val="28"/>
                          <w:lang w:eastAsia="zh-CN"/>
                        </w:rPr>
                        <w:t xml:space="preserve">盱眙县融媒体中心</w:t>
                      </w:r>
                      <w:r>
                        <w:rPr>
                          <w:rFonts w:hint="eastAsia" w:ascii="仿宋" w:hAnsi="仿宋" w:eastAsia="仿宋" w:cs="Times New Roman"/>
                          <w:sz w:val="28"/>
                        </w:rPr>
                        <w:t xml:space="preserve">2026-2027年度报纸印刷及运输投递服务项目潜在供应商登录江苏省政府采购网或者淮安市政府采购网，在网站首页点击“苏采云”→使用CA锁登录系统（新用户需进行“平台用户注册”）→“项目参与”进行登记，在“可参与项目”中选择“我要参与”，参与成功后自行免费下载询价通知书，并于2025年12月</w:t>
                      </w:r>
                      <w:r>
                        <w:rPr>
                          <w:rFonts w:hint="eastAsia" w:ascii="仿宋" w:hAnsi="仿宋" w:eastAsia="仿宋" w:cs="Times New Roman"/>
                          <w:sz w:val="28"/>
                          <w:lang w:val="en-US" w:eastAsia="zh-CN"/>
                        </w:rPr>
                        <w:t xml:space="preserve">05</w:t>
                      </w:r>
                      <w:r>
                        <w:rPr>
                          <w:rFonts w:hint="eastAsia" w:ascii="仿宋" w:hAnsi="仿宋" w:eastAsia="仿宋" w:cs="Times New Roman"/>
                          <w:sz w:val="28"/>
                        </w:rPr>
                        <w:t xml:space="preserve">日9时00分（北京时间）前递交响应文件</w:t>
                      </w:r>
                      <w:r>
                        <w:rPr>
                          <w:rFonts w:hint="eastAsia" w:ascii="仿宋" w:hAnsi="仿宋" w:eastAsia="仿宋" w:cs="Times New Roman"/>
                          <w:sz w:val="28"/>
                        </w:rPr>
                      </w:r>
                      <w:r/>
                    </w:p>
                    <w:p>
                      <w:pPr>
                        <w:pStyle w:val="651"/>
                      </w:pPr>
                      <w:r/>
                      <w:r/>
                    </w:p>
                  </w:txbxContent>
                </v:textbox>
              </v:shape>
            </w:pict>
          </mc:Fallback>
        </mc:AlternateContent>
      </w:r>
      <w:r>
        <w:rPr>
          <w:rFonts w:hint="eastAsia" w:ascii="仿宋" w:hAnsi="仿宋" w:eastAsia="仿宋"/>
          <w:sz w:val="28"/>
          <w:szCs w:val="28"/>
          <w:highlight w:val="none"/>
        </w:rPr>
      </w:r>
      <w:r/>
    </w:p>
    <w:p>
      <w:pPr>
        <w:pStyle w:val="651"/>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（一）项目编</w:t>
      </w:r>
      <w:r>
        <w:rPr>
          <w:rFonts w:hint="eastAsia" w:ascii="仿宋" w:hAnsi="仿宋" w:eastAsia="仿宋" w:cs="Times New Roman"/>
          <w:sz w:val="28"/>
        </w:rPr>
        <w:t xml:space="preserve">号:JSZC-320830-JZCG-T2025-0015 </w:t>
      </w:r>
      <w:r>
        <w:rPr>
          <w:rFonts w:ascii="仿宋" w:hAnsi="仿宋" w:eastAsia="仿宋"/>
          <w:sz w:val="28"/>
          <w:szCs w:val="28"/>
          <w:highlight w:val="none"/>
        </w:rPr>
      </w:r>
      <w:r/>
    </w:p>
    <w:p>
      <w:pPr>
        <w:pStyle w:val="651"/>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 </w:t>
      </w:r>
      <w:r>
        <w:rPr>
          <w:rFonts w:hint="eastAsia" w:ascii="仿宋" w:hAnsi="仿宋" w:eastAsia="仿宋"/>
          <w:sz w:val="28"/>
          <w:szCs w:val="28"/>
          <w:highlight w:val="none"/>
          <w:lang w:eastAsia="zh-CN"/>
        </w:rPr>
        <w:t xml:space="preserve">盱眙县融媒体中心</w:t>
      </w:r>
      <w:r>
        <w:rPr>
          <w:rFonts w:hint="eastAsia" w:ascii="仿宋" w:hAnsi="仿宋" w:eastAsia="仿宋"/>
          <w:sz w:val="28"/>
          <w:szCs w:val="28"/>
          <w:highlight w:val="none"/>
        </w:rPr>
        <w:t xml:space="preserve">2026-2027年度报纸印刷及运输投递服务项目</w:t>
      </w:r>
      <w:r>
        <w:rPr>
          <w:rFonts w:hint="eastAsia" w:ascii="仿宋" w:hAnsi="仿宋" w:eastAsia="仿宋"/>
          <w:bCs/>
          <w:sz w:val="28"/>
          <w:szCs w:val="28"/>
          <w:highlight w:val="none"/>
        </w:rPr>
        <w:t xml:space="preserve"> </w:t>
      </w:r>
      <w:r>
        <w:rPr>
          <w:rFonts w:hint="eastAsia" w:ascii="仿宋" w:hAnsi="仿宋" w:eastAsia="仿宋"/>
          <w:bCs/>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（三）采购方式:竞争性谈判</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rPr>
        <w:t xml:space="preserve"> 96.2万元</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 96.2万元</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采购需求:报纸印刷及运输投递服务项目分为：1、印刷《盱眙日报》，版式为对开4版，产品尺寸为770mm*540mm；双面彩报，CTP直接制版，正品新闻纸印刷，预计一年印刷160-180期，每期约5000份，按实际数量据实计算。2.合订本印刷及装订，按实际数量据实计算。报刊印刷有刊印和投送时效性，本项目的印刷承接供应商需有人员专班承接报刊打样（定稿）、加印等及时保持沟通，保证印刷及时，印制质量达到报纸专用标准，并与项目报刊运输投递承接人做好包装、装车等配合工作。3、运输及分送投递子项目一年预算约</w:t>
      </w:r>
      <w:r>
        <w:rPr>
          <w:rFonts w:hint="eastAsia" w:ascii="仿宋" w:hAnsi="仿宋" w:eastAsia="仿宋"/>
          <w:color w:val="ff0000"/>
          <w:sz w:val="28"/>
          <w:szCs w:val="28"/>
          <w:highlight w:val="none"/>
        </w:rPr>
        <w:t xml:space="preserve">10</w:t>
      </w:r>
      <w:r>
        <w:rPr>
          <w:rFonts w:hint="eastAsia" w:ascii="仿宋" w:hAnsi="仿宋" w:eastAsia="仿宋"/>
          <w:color w:val="ff0000"/>
          <w:sz w:val="28"/>
          <w:szCs w:val="28"/>
          <w:highlight w:val="none"/>
          <w:lang w:val="en-US" w:eastAsia="zh-CN"/>
        </w:rPr>
        <w:t xml:space="preserve">.3</w:t>
      </w:r>
      <w:r>
        <w:rPr>
          <w:rFonts w:hint="eastAsia" w:ascii="仿宋" w:hAnsi="仿宋" w:eastAsia="仿宋"/>
          <w:sz w:val="28"/>
          <w:szCs w:val="28"/>
          <w:highlight w:val="none"/>
        </w:rPr>
        <w:t xml:space="preserve">万元，报刊成品及合订本的运输投递承接人需要提供按时装车、运输及分送投递，服务做到安全及时。4、本次采购服务合作期两年，次年服务费不超上年项目预算，合作期满前1个月双方沟通无异议，可顺延服务一年。</w:t>
      </w:r>
      <w:r>
        <w:rPr>
          <w:rFonts w:ascii="仿宋" w:hAnsi="仿宋" w:eastAsia="仿宋"/>
          <w:sz w:val="28"/>
          <w:szCs w:val="28"/>
          <w:highlight w:val="none"/>
        </w:rPr>
      </w:r>
      <w:r/>
    </w:p>
    <w:p>
      <w:pPr>
        <w:pStyle w:val="651"/>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（七）合同履行期限:</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二</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年。</w:t>
      </w:r>
      <w:r>
        <w:rPr>
          <w:rFonts w:ascii="仿宋" w:hAnsi="仿宋" w:eastAsia="仿宋"/>
          <w:sz w:val="28"/>
          <w:szCs w:val="28"/>
          <w:highlight w:val="none"/>
        </w:rPr>
      </w:r>
      <w:r/>
    </w:p>
    <w:p>
      <w:pPr>
        <w:pStyle w:val="651"/>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否）接受联合体竞争性谈判。</w:t>
      </w:r>
      <w:r>
        <w:rPr>
          <w:rFonts w:hint="eastAsia" w:ascii="仿宋" w:hAnsi="仿宋" w:eastAsia="仿宋"/>
          <w:sz w:val="28"/>
          <w:szCs w:val="28"/>
          <w:highlight w:val="none"/>
        </w:rPr>
      </w:r>
      <w:r/>
    </w:p>
    <w:p>
      <w:pPr>
        <w:pStyle w:val="651"/>
        <w:ind w:firstLine="565"/>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lang w:val="en-US" w:eastAsia="zh-CN"/>
        </w:rPr>
        <w:t xml:space="preserve">服务业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u w:val="singl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651"/>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ascii="仿宋" w:hAnsi="仿宋" w:eastAsia="仿宋"/>
          <w:b/>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51"/>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51"/>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51"/>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对小微企业报价给予扣除，用扣除后的价格参加评审，具体详见第二章“供应商须知”第36.1项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51"/>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（三）本项目的特定资格要求:《印刷经营许可证》（含：出版物印刷，新闻出版管理部门颁发)。</w:t>
      </w:r>
      <w:r>
        <w:rPr>
          <w:rFonts w:hint="eastAsia"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51"/>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51"/>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51"/>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三、获取谈判文件</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1、时间:自谈判公告发布之日起五个工作日。</w:t>
      </w:r>
      <w:r>
        <w:rPr>
          <w:rFonts w:hint="eastAsia"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2、方式：在“淮安市政府采购网”自行免费下载招标文件。</w:t>
      </w:r>
      <w:r>
        <w:rPr>
          <w:rFonts w:ascii="仿宋" w:hAnsi="仿宋" w:eastAsia="仿宋"/>
          <w:sz w:val="28"/>
          <w:szCs w:val="28"/>
          <w:highlight w:val="none"/>
        </w:rPr>
      </w:r>
      <w:r/>
    </w:p>
    <w:p>
      <w:pPr>
        <w:pStyle w:val="651"/>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提交响应文件截止时间、谈判时间和地点</w:t>
      </w:r>
      <w:r>
        <w:rPr>
          <w:rFonts w:ascii="仿宋" w:hAnsi="仿宋" w:eastAsia="仿宋"/>
          <w:sz w:val="28"/>
          <w:szCs w:val="28"/>
          <w:highlight w:val="none"/>
        </w:rPr>
      </w:r>
      <w:r/>
    </w:p>
    <w:p>
      <w:pPr>
        <w:pStyle w:val="651"/>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（一）电子响应文件提交截止时间及谈判时间:2025年12月05日9时00分</w:t>
      </w:r>
      <w:r>
        <w:rPr>
          <w:rFonts w:ascii="仿宋" w:hAnsi="仿宋" w:eastAsia="仿宋"/>
          <w:sz w:val="28"/>
          <w:szCs w:val="28"/>
          <w:highlight w:val="none"/>
        </w:rPr>
      </w:r>
      <w:r/>
    </w:p>
    <w:p>
      <w:pPr>
        <w:pStyle w:val="651"/>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七、其他补充事宜</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八、对本次采购提出询问，请按以下方式联系。</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1、采购人信息</w:t>
      </w:r>
      <w:r>
        <w:rPr>
          <w:rFonts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盱眙县融媒体中心</w:t>
      </w:r>
      <w:r>
        <w:rPr>
          <w:rFonts w:hint="eastAsia" w:ascii="仿宋" w:hAnsi="仿宋" w:eastAsia="仿宋"/>
          <w:sz w:val="28"/>
          <w:szCs w:val="28"/>
          <w:highlight w:val="none"/>
          <w:lang w:eastAsia="zh-CN"/>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地址:盱眙县五墩广电大厦</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联系方式:张</w:t>
      </w:r>
      <w:r>
        <w:rPr>
          <w:rFonts w:hint="eastAsia" w:ascii="仿宋" w:hAnsi="仿宋" w:eastAsia="仿宋"/>
          <w:sz w:val="28"/>
          <w:szCs w:val="28"/>
          <w:highlight w:val="none"/>
          <w:lang w:val="en-US" w:eastAsia="zh-CN"/>
        </w:rPr>
        <w:t xml:space="preserve">丽娟</w:t>
      </w:r>
      <w:r>
        <w:rPr>
          <w:rFonts w:hint="eastAsia" w:ascii="仿宋" w:hAnsi="仿宋" w:eastAsia="仿宋"/>
          <w:sz w:val="28"/>
          <w:szCs w:val="28"/>
          <w:highlight w:val="none"/>
        </w:rPr>
        <w:t xml:space="preserve"> 15050801889   邱</w:t>
      </w:r>
      <w:r>
        <w:rPr>
          <w:rFonts w:hint="eastAsia" w:ascii="仿宋" w:hAnsi="仿宋" w:eastAsia="仿宋"/>
          <w:sz w:val="28"/>
          <w:szCs w:val="28"/>
          <w:highlight w:val="none"/>
          <w:lang w:val="en-US" w:eastAsia="zh-CN"/>
        </w:rPr>
        <w:t xml:space="preserve">建刚</w:t>
      </w:r>
      <w:r>
        <w:rPr>
          <w:rFonts w:hint="eastAsia" w:ascii="仿宋" w:hAnsi="仿宋" w:eastAsia="仿宋"/>
          <w:sz w:val="28"/>
          <w:szCs w:val="28"/>
          <w:highlight w:val="none"/>
        </w:rPr>
        <w:t xml:space="preserve"> 13813305206</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淮安市公共资源交易中心盱眙分中心</w:t>
      </w:r>
      <w:r>
        <w:rPr>
          <w:rFonts w:hint="eastAsia" w:ascii="仿宋" w:hAnsi="仿宋" w:eastAsia="仿宋"/>
          <w:sz w:val="28"/>
          <w:szCs w:val="28"/>
          <w:highlight w:val="none"/>
          <w:lang w:eastAsia="zh-CN"/>
        </w:rPr>
      </w:r>
      <w:r/>
    </w:p>
    <w:p>
      <w:pPr>
        <w:pStyle w:val="651"/>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val="en-US" w:eastAsia="zh-CN"/>
        </w:rPr>
        <w:t xml:space="preserve">盱眙县金鹏大道2号</w:t>
      </w:r>
      <w:r>
        <w:rPr>
          <w:rFonts w:ascii="仿宋" w:hAnsi="仿宋" w:eastAsia="仿宋"/>
          <w:sz w:val="28"/>
          <w:szCs w:val="28"/>
          <w:highlight w:val="none"/>
          <w:lang w:val="en-US" w:eastAsia="zh-CN"/>
        </w:rPr>
      </w:r>
      <w:r/>
    </w:p>
    <w:p>
      <w:pPr>
        <w:pStyle w:val="651"/>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15261779247</w:t>
      </w:r>
      <w:r>
        <w:rPr>
          <w:rFonts w:ascii="仿宋" w:hAnsi="仿宋" w:eastAsia="仿宋"/>
          <w:sz w:val="28"/>
          <w:szCs w:val="28"/>
          <w:highlight w:val="none"/>
          <w:lang w:val="en-US" w:eastAsia="zh-CN"/>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651"/>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有关本次谈判活动的事项若存在变动或修改，敬请及时关注</w:t>
      </w:r>
      <w:r>
        <w:rPr>
          <w:rFonts w:hint="eastAsia" w:ascii="仿宋" w:hAnsi="仿宋" w:eastAsia="仿宋"/>
          <w:sz w:val="28"/>
          <w:szCs w:val="28"/>
          <w:highlight w:val="none"/>
          <w:lang w:val="en-US" w:eastAsia="zh-CN"/>
        </w:rPr>
        <w:t xml:space="preserve">采购人</w:t>
      </w:r>
      <w:r>
        <w:rPr>
          <w:rFonts w:hint="eastAsia" w:ascii="仿宋" w:hAnsi="仿宋" w:eastAsia="仿宋"/>
          <w:sz w:val="28"/>
          <w:szCs w:val="28"/>
          <w:highlight w:val="none"/>
        </w:rPr>
        <w:t xml:space="preserve">在“淮安市政府采购网”发布的更正公告。</w:t>
      </w:r>
      <w:r>
        <w:rPr>
          <w:rFonts w:hint="eastAsia" w:ascii="仿宋" w:hAnsi="仿宋" w:eastAsia="仿宋"/>
          <w:sz w:val="28"/>
          <w:szCs w:val="28"/>
          <w:highlight w:val="none"/>
        </w:rPr>
      </w:r>
      <w:r/>
    </w:p>
    <w:p>
      <w:pPr>
        <w:pStyle w:val="651"/>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本次采购不收取谈判保证金。</w:t>
      </w:r>
      <w:r>
        <w:rPr>
          <w:rFonts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jc w:val="center"/>
        <w:rPr>
          <w:rFonts w:hint="eastAsia" w:ascii="宋体" w:hAnsi="宋体"/>
          <w:bCs/>
          <w:sz w:val="32"/>
          <w:highlight w:val="none"/>
        </w:rPr>
      </w:pPr>
      <w:r>
        <w:rPr>
          <w:rFonts w:hint="eastAsia" w:ascii="宋体" w:hAnsi="宋体"/>
          <w:bCs/>
          <w:sz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t xml:space="preserve">               </w:t>
      </w: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51"/>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第二章   供应商须知</w:t>
      </w:r>
      <w:r>
        <w:rPr>
          <w:rFonts w:hint="eastAsia" w:ascii="仿宋" w:hAnsi="仿宋" w:eastAsia="仿宋"/>
          <w:b/>
          <w:bCs/>
          <w:sz w:val="36"/>
          <w:szCs w:val="36"/>
          <w:highlight w:val="none"/>
        </w:rPr>
      </w:r>
      <w:r/>
    </w:p>
    <w:p>
      <w:pPr>
        <w:pStyle w:val="651"/>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rPr>
          <w:rFonts w:hint="eastAsia" w:ascii="仿宋" w:hAnsi="仿宋" w:eastAsia="仿宋"/>
          <w:b/>
          <w:bCs/>
          <w:sz w:val="32"/>
          <w:szCs w:val="32"/>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本竞争性谈判文件仅适用于本次采购邀请中所述项目的采购。</w:t>
      </w:r>
      <w:r>
        <w:rPr>
          <w:rFonts w:hint="eastAsia" w:ascii="仿宋" w:hAnsi="仿宋" w:eastAsia="仿宋"/>
          <w:sz w:val="28"/>
          <w:szCs w:val="28"/>
          <w:highlight w:val="none"/>
        </w:rPr>
      </w:r>
      <w:r/>
    </w:p>
    <w:p>
      <w:pPr>
        <w:pStyle w:val="651"/>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rPr>
          <w:rFonts w:hint="eastAsia" w:ascii="仿宋" w:hAnsi="仿宋" w:eastAsia="仿宋"/>
          <w:bCs/>
          <w:sz w:val="28"/>
          <w:highlight w:val="none"/>
        </w:rPr>
      </w:r>
      <w:r/>
    </w:p>
    <w:p>
      <w:pPr>
        <w:pStyle w:val="651"/>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满足第一章谈判邀请中供应商资格要求的规定。 </w:t>
      </w:r>
      <w:r>
        <w:rPr>
          <w:rFonts w:hint="eastAsia" w:ascii="仿宋" w:hAnsi="仿宋" w:eastAsia="仿宋"/>
          <w:sz w:val="28"/>
          <w:szCs w:val="28"/>
          <w:highlight w:val="none"/>
        </w:rPr>
      </w:r>
      <w:r/>
    </w:p>
    <w:p>
      <w:pPr>
        <w:pStyle w:val="651"/>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满足谈判文件中实质性条款的规定。</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《中华人民共和国政府采购法》、《中华人民共和国政府采购法实施条例》、《政府采购非招标方式管理办法》等有关法律、规章和规定等。</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4.谈判费用</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4.1供应商应自行承担所有与参加谈判有关的费用。不论谈判的结果如何，</w:t>
      </w:r>
      <w:r>
        <w:rPr>
          <w:rFonts w:hint="eastAsia" w:ascii="仿宋" w:hAnsi="仿宋" w:eastAsia="仿宋"/>
          <w:sz w:val="28"/>
          <w:szCs w:val="28"/>
          <w:highlight w:val="none"/>
          <w:lang w:eastAsia="zh-CN"/>
        </w:rPr>
        <w:t xml:space="preserve">淮安市公共资源交易中心盱眙分中心</w:t>
      </w:r>
      <w:r>
        <w:rPr>
          <w:rFonts w:hint="eastAsia" w:ascii="仿宋" w:hAnsi="仿宋" w:eastAsia="仿宋"/>
          <w:sz w:val="28"/>
          <w:szCs w:val="28"/>
          <w:highlight w:val="none"/>
        </w:rPr>
        <w:t xml:space="preserve">（以下简称采购中心）在任何情况下均无义务和责任承担这些费用。</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4.2本次项目不收取文件工本费和成交管理费。</w:t>
      </w:r>
      <w:r>
        <w:rPr>
          <w:rFonts w:hint="eastAsia" w:ascii="仿宋" w:hAnsi="仿宋" w:eastAsia="仿宋"/>
          <w:sz w:val="28"/>
          <w:szCs w:val="28"/>
          <w:highlight w:val="none"/>
        </w:rPr>
      </w:r>
      <w:r/>
    </w:p>
    <w:p>
      <w:pPr>
        <w:pStyle w:val="651"/>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二、谈判文件</w:t>
      </w:r>
      <w:r>
        <w:rPr>
          <w:rFonts w:hint="eastAsia" w:ascii="仿宋" w:hAnsi="仿宋" w:eastAsia="仿宋"/>
          <w:b/>
          <w:bCs/>
          <w:sz w:val="32"/>
          <w:szCs w:val="32"/>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5.谈判文件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5.1谈判邀请</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5.2供应商须知</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5.3评标标准</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5.4合同格式及条款</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5.5项目采购需求</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5.6响应文件</w:t>
      </w:r>
      <w:r>
        <w:rPr>
          <w:rFonts w:hint="eastAsia" w:ascii="仿宋" w:hAnsi="仿宋" w:eastAsia="仿宋"/>
          <w:sz w:val="28"/>
          <w:szCs w:val="28"/>
          <w:highlight w:val="none"/>
        </w:rPr>
      </w:r>
      <w:r/>
    </w:p>
    <w:p>
      <w:pPr>
        <w:pStyle w:val="651"/>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6.谈判文件的澄清</w:t>
      </w:r>
      <w:r>
        <w:rPr>
          <w:rFonts w:hint="eastAsia" w:ascii="仿宋" w:hAnsi="仿宋" w:eastAsia="仿宋"/>
          <w:bCs/>
          <w:sz w:val="28"/>
          <w:highlight w:val="none"/>
        </w:rPr>
      </w:r>
      <w:r/>
    </w:p>
    <w:p>
      <w:pPr>
        <w:pStyle w:val="651"/>
        <w:ind w:firstLine="560"/>
        <w:spacing w:line="520" w:lineRule="exact"/>
        <w:rPr>
          <w:rFonts w:hint="eastAsia" w:ascii="仿宋" w:hAnsi="仿宋" w:eastAsia="仿宋"/>
          <w:bCs/>
          <w:sz w:val="28"/>
          <w:highlight w:val="none"/>
        </w:rPr>
      </w:pPr>
      <w:r>
        <w:rPr>
          <w:rFonts w:hint="eastAsia" w:ascii="仿宋" w:hAnsi="仿宋" w:eastAsia="仿宋"/>
          <w:sz w:val="28"/>
          <w:highlight w:val="none"/>
        </w:rPr>
        <w:t xml:space="preserve">6.1</w:t>
      </w:r>
      <w:r>
        <w:rPr>
          <w:rFonts w:hint="eastAsia" w:ascii="仿宋" w:hAnsi="仿宋" w:eastAsia="仿宋"/>
          <w:sz w:val="28"/>
          <w:szCs w:val="28"/>
          <w:highlight w:val="none"/>
        </w:rPr>
        <w:t xml:space="preserve">任何要求对谈判进行澄清的供应商，均应在谈判截止时间五日前通过以书面形式并加盖公章通知采购中心，采购中心对谈判截止时间前五日收到的任何澄清要求将以书面形式予以答复。</w:t>
      </w:r>
      <w:r>
        <w:rPr>
          <w:rFonts w:hint="eastAsia" w:ascii="仿宋" w:hAnsi="仿宋" w:eastAsia="仿宋"/>
          <w:bCs/>
          <w:sz w:val="28"/>
          <w:highlight w:val="none"/>
        </w:rPr>
      </w:r>
      <w:r/>
    </w:p>
    <w:p>
      <w:pPr>
        <w:pStyle w:val="651"/>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 xml:space="preserve">7.谈判文件的更正或补充</w:t>
      </w:r>
      <w:r>
        <w:rPr>
          <w:rFonts w:hint="eastAsia" w:ascii="仿宋" w:hAnsi="仿宋" w:eastAsia="仿宋" w:cs="楷体_GB2312"/>
          <w:sz w:val="28"/>
          <w:szCs w:val="28"/>
          <w:highlight w:val="none"/>
          <w:lang w:val="zh-CN"/>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7.1在谈判时间前，采购中心可主动或在解答供应商提出的澄清问题时对谈判文件用更正公告的方式进行修正。</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 对</w:t>
      </w:r>
      <w:r>
        <w:rPr>
          <w:rFonts w:hint="eastAsia" w:ascii="仿宋" w:hAnsi="仿宋" w:eastAsia="仿宋" w:cs="楷体_GB2312"/>
          <w:sz w:val="28"/>
          <w:szCs w:val="28"/>
          <w:highlight w:val="none"/>
          <w:lang w:val="zh-CN"/>
        </w:rPr>
        <w:t xml:space="preserve">谈判文件的修改将</w:t>
      </w:r>
      <w:r>
        <w:rPr>
          <w:rFonts w:hint="eastAsia" w:ascii="仿宋" w:hAnsi="仿宋" w:eastAsia="仿宋"/>
          <w:sz w:val="28"/>
          <w:szCs w:val="28"/>
          <w:highlight w:val="none"/>
        </w:rPr>
        <w:t xml:space="preserve">在淮安市政府采购网进行公告，更正公告将作为谈判文件的组成部分，对所有参加本次谈判的供应商都具有约束力。</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7.3为使供应商有足够的时间按谈判文件的更正要求修正响应文件，采购中心有权按照相关法定的要求推迟响应文件接收截止时间和谈判时间。</w:t>
      </w:r>
      <w:r>
        <w:rPr>
          <w:rFonts w:hint="eastAsia" w:ascii="仿宋" w:hAnsi="仿宋" w:eastAsia="仿宋"/>
          <w:sz w:val="28"/>
          <w:szCs w:val="28"/>
          <w:highlight w:val="none"/>
        </w:rPr>
      </w:r>
      <w:r/>
    </w:p>
    <w:p>
      <w:pPr>
        <w:pStyle w:val="651"/>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rPr>
          <w:rFonts w:hint="eastAsia" w:ascii="仿宋" w:hAnsi="仿宋" w:eastAsia="仿宋"/>
          <w:b/>
          <w:bCs/>
          <w:sz w:val="32"/>
          <w:szCs w:val="32"/>
          <w:highlight w:val="none"/>
        </w:rPr>
      </w:r>
      <w:r/>
    </w:p>
    <w:p>
      <w:pPr>
        <w:pStyle w:val="651"/>
        <w:spacing w:line="520" w:lineRule="exact"/>
        <w:rPr>
          <w:rFonts w:hint="eastAsia" w:ascii="仿宋" w:hAnsi="仿宋" w:eastAsia="仿宋"/>
          <w:sz w:val="28"/>
          <w:szCs w:val="28"/>
          <w:highlight w:val="none"/>
        </w:rPr>
      </w:pPr>
      <w:r/>
      <w:bookmarkStart w:id="0" w:name="_Toc513029214"/>
      <w:r/>
      <w:bookmarkStart w:id="1" w:name="_Toc462564073"/>
      <w:r/>
      <w:bookmarkStart w:id="2" w:name="_Toc20823286"/>
      <w:r/>
      <w:bookmarkStart w:id="3" w:name="_Toc16938530"/>
      <w:r>
        <w:rPr>
          <w:rFonts w:hint="eastAsia" w:ascii="仿宋" w:hAnsi="仿宋" w:eastAsia="仿宋"/>
          <w:sz w:val="28"/>
          <w:szCs w:val="28"/>
          <w:highlight w:val="none"/>
        </w:rPr>
        <w:t xml:space="preserve">8．响应文件的语言及度量衡单位</w:t>
      </w:r>
      <w:bookmarkEnd w:id="0"/>
      <w:r/>
      <w:bookmarkEnd w:id="1"/>
      <w:r/>
      <w:bookmarkEnd w:id="2"/>
      <w:r/>
      <w:bookmarkEnd w:id="3"/>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8.1供应商提交的响应文件以及供应商与采购中心就有关谈判的所有来往通知、函件和文件均应使用简体中文。</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除技术性能另有规定外，响应文件所使用的度量衡单位，均须采用国家法定计量单位。</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bookmarkStart w:id="4" w:name="_Toc16938531"/>
      <w:r/>
      <w:bookmarkStart w:id="5" w:name="_Toc462564074"/>
      <w:r/>
      <w:bookmarkStart w:id="6" w:name="_Toc513029215"/>
      <w:r/>
      <w:bookmarkStart w:id="7" w:name="_Toc20823287"/>
      <w:r>
        <w:rPr>
          <w:rFonts w:hint="eastAsia" w:ascii="仿宋" w:hAnsi="仿宋" w:eastAsia="仿宋"/>
          <w:sz w:val="28"/>
          <w:szCs w:val="28"/>
          <w:highlight w:val="none"/>
        </w:rPr>
        <w:t xml:space="preserve">9．响应文件构成</w:t>
      </w:r>
      <w:bookmarkEnd w:id="4"/>
      <w:r/>
      <w:bookmarkEnd w:id="5"/>
      <w:r/>
      <w:bookmarkEnd w:id="6"/>
      <w:r/>
      <w:bookmarkEnd w:id="7"/>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9.1供应商编写的响应文件应包括资格证明文件、符合性证明文件、分项报价表、技术要求响应及偏离表、商务要求响应及偏离表、其他证明文件、谈判响应函等部分。</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如标书制作工具中格式和内容与“淮安市政府采购网”发布的谈判文件不一致，请以“淮安市政府采购网”发布的谈判文件为准。</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bookmarkStart w:id="8" w:name="_Toc14577357"/>
      <w:r/>
      <w:bookmarkStart w:id="9" w:name="_Toc513029219"/>
      <w:r/>
      <w:bookmarkStart w:id="10" w:name="_Toc49090509"/>
      <w:r/>
      <w:bookmarkStart w:id="11" w:name="_Toc14577354"/>
      <w:r/>
      <w:bookmarkStart w:id="12" w:name="_Toc49090507"/>
      <w:r/>
      <w:bookmarkStart w:id="13" w:name="_Toc513029216"/>
      <w:r/>
      <w:bookmarkStart w:id="14" w:name="_Toc14577355"/>
      <w:r/>
      <w:bookmarkStart w:id="15" w:name="_Toc49090508"/>
      <w:r>
        <w:rPr>
          <w:rFonts w:hint="eastAsia" w:ascii="仿宋" w:hAnsi="仿宋" w:eastAsia="仿宋"/>
          <w:sz w:val="28"/>
          <w:szCs w:val="28"/>
          <w:highlight w:val="none"/>
        </w:rPr>
        <w:t xml:space="preserve">10．证明谈判响应标的符合谈判文件规定的文件</w:t>
      </w:r>
      <w:bookmarkEnd w:id="8"/>
      <w:r/>
      <w:bookmarkEnd w:id="9"/>
      <w:r/>
      <w:bookmarkEnd w:id="10"/>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bookmarkEnd w:id="11"/>
      <w:r/>
      <w:bookmarkEnd w:id="12"/>
      <w:r/>
      <w:bookmarkEnd w:id="13"/>
      <w:r>
        <w:rPr>
          <w:rFonts w:hint="eastAsia" w:ascii="仿宋" w:hAnsi="仿宋" w:eastAsia="仿宋"/>
          <w:sz w:val="28"/>
          <w:szCs w:val="28"/>
          <w:highlight w:val="none"/>
        </w:rPr>
        <w:t xml:space="preserve">10.1供应商应按照谈判文件要求提交证明文件，证明其及谈判响应标的符合谈判文件规定。</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10.2谈判文件对证明文件无明确形式要求的，证明文件可以以文字资料、图纸和数据等形式提交。</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bookmarkEnd w:id="14"/>
      <w:r/>
      <w:bookmarkEnd w:id="15"/>
      <w:r>
        <w:rPr>
          <w:rFonts w:hint="eastAsia" w:ascii="仿宋" w:hAnsi="仿宋" w:eastAsia="仿宋"/>
          <w:sz w:val="28"/>
          <w:szCs w:val="28"/>
          <w:highlight w:val="none"/>
        </w:rPr>
        <w:t xml:space="preserve">11．分项报价表</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11.1供应商应按照谈判文件规定格式填报分项报价表。</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11.2谈判货币。响应文件中的单价和总价无特殊规定的采用人民币报价，以元为单位标注。谈判文件中另有规定的按规定执行。</w:t>
      </w:r>
      <w:r>
        <w:rPr>
          <w:rFonts w:hint="eastAsia" w:ascii="仿宋" w:hAnsi="仿宋" w:eastAsia="仿宋"/>
          <w:sz w:val="28"/>
          <w:szCs w:val="28"/>
          <w:highlight w:val="none"/>
        </w:rPr>
      </w:r>
      <w:r/>
    </w:p>
    <w:p>
      <w:pPr>
        <w:pStyle w:val="651"/>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11.3本项目由江苏泽豪工程咨询管理有限公司协助采购人作了前期咨询工作。因此各投标人在报价时必须将咨询费用包含在投标报价中，不需单独列项计取。本次项目咨询费6000元。成交人在领取成交通知书之日向江苏泽豪工程咨询管理有限公司一次性付清。</w:t>
      </w:r>
      <w:r>
        <w:rPr>
          <w:rFonts w:ascii="仿宋" w:hAnsi="仿宋" w:eastAsia="仿宋"/>
          <w:sz w:val="28"/>
          <w:szCs w:val="28"/>
          <w:highlight w:val="none"/>
          <w:lang w:val="en-US" w:eastAsia="zh-CN"/>
        </w:rPr>
      </w:r>
      <w:r/>
    </w:p>
    <w:p>
      <w:pPr>
        <w:pStyle w:val="651"/>
        <w:spacing w:line="520" w:lineRule="exact"/>
        <w:rPr>
          <w:rFonts w:hint="eastAsia" w:ascii="仿宋" w:hAnsi="仿宋" w:eastAsia="仿宋"/>
          <w:sz w:val="28"/>
          <w:szCs w:val="28"/>
          <w:highlight w:val="none"/>
        </w:rPr>
      </w:pPr>
      <w:r/>
      <w:bookmarkStart w:id="16" w:name="_Hlt26670482"/>
      <w:r/>
      <w:bookmarkEnd w:id="16"/>
      <w:r/>
      <w:bookmarkStart w:id="17" w:name="_Hlt26954846"/>
      <w:r/>
      <w:bookmarkEnd w:id="17"/>
      <w:r/>
      <w:bookmarkStart w:id="18" w:name="_Hlt26954848"/>
      <w:r/>
      <w:bookmarkEnd w:id="18"/>
      <w:r/>
      <w:bookmarkStart w:id="19" w:name="_Hlt26670486"/>
      <w:r/>
      <w:bookmarkEnd w:id="19"/>
      <w:r/>
      <w:bookmarkStart w:id="20" w:name="_Hlt26954731"/>
      <w:r/>
      <w:bookmarkEnd w:id="20"/>
      <w:r>
        <w:rPr>
          <w:rFonts w:hint="eastAsia" w:ascii="仿宋" w:hAnsi="仿宋" w:eastAsia="仿宋"/>
          <w:sz w:val="28"/>
          <w:szCs w:val="28"/>
          <w:highlight w:val="none"/>
        </w:rPr>
        <w:t xml:space="preserve">12.技术要求响应及偏离表、商务要求响应及偏离表（如有）</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供应商需对谈判文件中的技术要求与商务要求逐项作出响应或偏离，并说明原因。</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13.2供应商需根据谈判文件要求提供培训计划。</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13.3供应商需根据谈判文件要求提供谈判响应标的的主要组成部分、功能设计、实现思路及关键技术等。</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bookmarkStart w:id="21" w:name="_Toc14577359"/>
      <w:r/>
      <w:bookmarkStart w:id="22" w:name="_Toc49090510"/>
      <w:r>
        <w:rPr>
          <w:rFonts w:hint="eastAsia" w:ascii="仿宋" w:hAnsi="仿宋" w:eastAsia="仿宋"/>
          <w:sz w:val="28"/>
          <w:szCs w:val="28"/>
          <w:highlight w:val="none"/>
        </w:rPr>
        <w:t xml:space="preserve">14.谈判响应函</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14.1供应商应按照谈判文件中提供的格式完整、正确填写谈判响应函。</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bookmarkEnd w:id="21"/>
      <w:r/>
      <w:bookmarkEnd w:id="22"/>
      <w:r>
        <w:rPr>
          <w:rFonts w:hint="eastAsia" w:ascii="仿宋" w:hAnsi="仿宋" w:eastAsia="仿宋"/>
          <w:sz w:val="28"/>
          <w:szCs w:val="28"/>
          <w:highlight w:val="none"/>
        </w:rPr>
        <w:t xml:space="preserve">15.谈判有效期的延长</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r>
        <w:rPr>
          <w:rFonts w:hint="eastAsia" w:ascii="仿宋" w:hAnsi="仿宋" w:eastAsia="仿宋"/>
          <w:sz w:val="28"/>
          <w:szCs w:val="28"/>
          <w:highlight w:val="none"/>
        </w:rPr>
      </w:r>
      <w:r/>
    </w:p>
    <w:p>
      <w:pPr>
        <w:pStyle w:val="651"/>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16.谈判有效期</w:t>
      </w:r>
      <w:r>
        <w:rPr>
          <w:rFonts w:hint="eastAsia" w:ascii="仿宋" w:hAnsi="仿宋" w:eastAsia="仿宋"/>
          <w:bCs/>
          <w:sz w:val="28"/>
          <w:highlight w:val="none"/>
        </w:rPr>
      </w:r>
      <w:r/>
    </w:p>
    <w:p>
      <w:pPr>
        <w:pStyle w:val="651"/>
        <w:ind w:firstLine="540"/>
        <w:spacing w:line="520" w:lineRule="exact"/>
        <w:rPr>
          <w:rFonts w:hint="eastAsia" w:ascii="仿宋" w:hAnsi="仿宋" w:eastAsia="仿宋"/>
          <w:b/>
          <w:bCs/>
          <w:sz w:val="28"/>
          <w:highlight w:val="none"/>
        </w:rPr>
      </w:pPr>
      <w:r>
        <w:rPr>
          <w:rFonts w:hint="eastAsia" w:ascii="仿宋" w:hAnsi="仿宋" w:eastAsia="仿宋"/>
          <w:sz w:val="28"/>
          <w:highlight w:val="none"/>
        </w:rPr>
        <w:t xml:space="preserve">16.1谈判有效期为从谈判之日起计算的</w:t>
      </w:r>
      <w:r>
        <w:rPr>
          <w:rFonts w:hint="eastAsia" w:ascii="仿宋" w:hAnsi="仿宋" w:eastAsia="仿宋"/>
          <w:bCs/>
          <w:sz w:val="28"/>
          <w:highlight w:val="none"/>
        </w:rPr>
        <w:t xml:space="preserve">六十天</w:t>
      </w:r>
      <w:r>
        <w:rPr>
          <w:rFonts w:hint="eastAsia" w:ascii="仿宋" w:hAnsi="仿宋" w:eastAsia="仿宋"/>
          <w:sz w:val="28"/>
          <w:highlight w:val="none"/>
        </w:rPr>
        <w:t xml:space="preserve">。谈判有效期比规定短的将被视为</w:t>
      </w:r>
      <w:r>
        <w:rPr>
          <w:rFonts w:hint="eastAsia" w:ascii="仿宋" w:hAnsi="仿宋" w:eastAsia="仿宋" w:cs="仿宋_GB2312"/>
          <w:color w:val="000000"/>
          <w:sz w:val="28"/>
          <w:szCs w:val="28"/>
          <w:highlight w:val="none"/>
          <w:lang w:val="zh-CN"/>
        </w:rPr>
        <w:t xml:space="preserve">非响应谈判而予以拒绝。</w:t>
      </w:r>
      <w:r>
        <w:rPr>
          <w:rFonts w:hint="eastAsia" w:ascii="仿宋" w:hAnsi="仿宋" w:eastAsia="仿宋"/>
          <w:b/>
          <w:bCs/>
          <w:sz w:val="28"/>
          <w:highlight w:val="none"/>
        </w:rPr>
      </w:r>
      <w:r/>
    </w:p>
    <w:p>
      <w:pPr>
        <w:pStyle w:val="651"/>
        <w:ind w:firstLine="540"/>
        <w:spacing w:line="520" w:lineRule="exact"/>
        <w:rPr>
          <w:rFonts w:hint="eastAsia" w:ascii="仿宋" w:hAnsi="仿宋" w:eastAsia="仿宋"/>
          <w:sz w:val="28"/>
          <w:highlight w:val="none"/>
        </w:rPr>
      </w:pPr>
      <w:r>
        <w:rPr>
          <w:rFonts w:hint="eastAsia" w:ascii="仿宋" w:hAnsi="仿宋" w:eastAsia="仿宋"/>
          <w:bCs/>
          <w:sz w:val="28"/>
          <w:highlight w:val="none"/>
        </w:rPr>
        <w:t xml:space="preserve">16.2</w:t>
      </w:r>
      <w:r>
        <w:rPr>
          <w:rFonts w:hint="eastAsia" w:ascii="仿宋" w:hAnsi="仿宋" w:eastAsia="仿宋"/>
          <w:sz w:val="28"/>
          <w:highlight w:val="none"/>
        </w:rPr>
        <w:t xml:space="preserve">在特殊情况下，采购中心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rPr>
          <w:rFonts w:hint="eastAsia" w:ascii="仿宋" w:hAnsi="仿宋" w:eastAsia="仿宋"/>
          <w:sz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17.响应文件的签署</w:t>
      </w:r>
      <w:r>
        <w:rPr>
          <w:rFonts w:hint="eastAsia" w:ascii="仿宋" w:hAnsi="仿宋" w:eastAsia="仿宋"/>
          <w:sz w:val="28"/>
          <w:szCs w:val="28"/>
          <w:highlight w:val="none"/>
        </w:rPr>
      </w:r>
      <w:r/>
    </w:p>
    <w:p>
      <w:pPr>
        <w:pStyle w:val="651"/>
        <w:ind w:firstLine="54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17.1响应文件仅需要在供应商进行签章的位置应进行电子签章。电子响应文件不得涂改、行间插字或删除，如果出现上述情况应重新编制。</w:t>
      </w:r>
      <w:r>
        <w:rPr>
          <w:rFonts w:hint="eastAsia" w:ascii="仿宋" w:hAnsi="仿宋" w:eastAsia="仿宋"/>
          <w:sz w:val="28"/>
          <w:szCs w:val="28"/>
          <w:highlight w:val="none"/>
        </w:rPr>
      </w:r>
      <w:r/>
    </w:p>
    <w:p>
      <w:pPr>
        <w:pStyle w:val="651"/>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rPr>
          <w:rFonts w:hint="eastAsia" w:ascii="仿宋" w:hAnsi="仿宋" w:eastAsia="仿宋"/>
          <w:b/>
          <w:bCs/>
          <w:sz w:val="32"/>
          <w:szCs w:val="32"/>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18.响应文件的上传</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18.1供应商应当按照《操作手册》规定，在提交响应文件截止时间前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并上传电子响应文件。 </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19.响应文件被拒绝接收的情形</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19.1在谈判文件规定的提交响应文件截止时间后上传的电子响应文件。</w:t>
      </w:r>
      <w:r>
        <w:rPr>
          <w:rFonts w:hint="eastAsia" w:ascii="仿宋" w:hAnsi="仿宋" w:eastAsia="仿宋"/>
          <w:sz w:val="28"/>
          <w:szCs w:val="28"/>
          <w:highlight w:val="none"/>
        </w:rPr>
      </w:r>
      <w:r/>
    </w:p>
    <w:p>
      <w:pPr>
        <w:pStyle w:val="651"/>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20.响应文件的修改和撤回</w:t>
      </w:r>
      <w:r>
        <w:rPr>
          <w:rFonts w:hint="eastAsia" w:ascii="仿宋" w:hAnsi="仿宋" w:eastAsia="仿宋"/>
          <w:bCs/>
          <w:sz w:val="28"/>
          <w:highlight w:val="none"/>
        </w:rPr>
      </w:r>
      <w:r/>
    </w:p>
    <w:p>
      <w:pPr>
        <w:pStyle w:val="651"/>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20.1供应商在上传电子响应文件后可以对其修改或撤回，但这种修改和撤回，必须在规定的谈判时间之前。</w:t>
      </w:r>
      <w:r>
        <w:rPr>
          <w:rFonts w:hint="eastAsia" w:ascii="仿宋" w:hAnsi="仿宋" w:eastAsia="仿宋"/>
          <w:color w:val="ff0000"/>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20.2对于电子响应文件的修改，供应商可在谈判时间前登录电子交易平台撤回电子响应文件，并上传新的电子响应文件。电子响应文件以最终完成上传的为准。</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20.3供应商不得在谈判时间以后修改电子响应文件。</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20.4</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得在提交电子响应文件截止时间起至谈判有效期满前撤回电子响应文件。</w:t>
      </w:r>
      <w:r>
        <w:rPr>
          <w:rFonts w:hint="eastAsia" w:ascii="仿宋" w:hAnsi="仿宋" w:eastAsia="仿宋"/>
          <w:sz w:val="28"/>
          <w:szCs w:val="28"/>
          <w:highlight w:val="none"/>
        </w:rPr>
      </w:r>
      <w:r/>
    </w:p>
    <w:p>
      <w:pPr>
        <w:pStyle w:val="651"/>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651"/>
        <w:spacing w:line="520" w:lineRule="exact"/>
        <w:rPr>
          <w:rFonts w:hint="eastAsia" w:ascii="仿宋" w:hAnsi="仿宋" w:eastAsia="仿宋"/>
          <w:sz w:val="28"/>
          <w:szCs w:val="28"/>
          <w:highlight w:val="none"/>
        </w:rPr>
      </w:pPr>
      <w:r/>
      <w:bookmarkStart w:id="23" w:name="_Toc16938546"/>
      <w:r/>
      <w:bookmarkStart w:id="24" w:name="_Toc20823302"/>
      <w:r/>
      <w:bookmarkStart w:id="25" w:name="_Toc513029230"/>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1.响应文件解密</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21.1供应商应当按照《操作手册》规定，在苏采云系统规定的时间内对谈判响应文件进行解密。</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22.谈判小组</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22.1采购中心将组织谈判小组对响应文件进行评审。谈判小组由采购人代表和有关技术、经济等方面的专家组成，且人员构成符合政府采购有关规定。</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22.2谈判小组独立工作，负责评审所有响应文件并确定成交</w:t>
      </w:r>
      <w:r>
        <w:rPr>
          <w:rFonts w:hint="eastAsia" w:ascii="仿宋" w:hAnsi="仿宋" w:eastAsia="仿宋"/>
          <w:sz w:val="28"/>
          <w:szCs w:val="28"/>
          <w:highlight w:val="none"/>
          <w:lang w:eastAsia="zh-CN"/>
        </w:rPr>
        <w:t xml:space="preserve">候选人</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23.评审过程的保密与公正</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23.1谈判小组、采购人和采购中心工作人员、相关监督人员等与评审工作有关的人员，对评审情况以及在评审过程中获悉的国家秘密、商业秘密负有保密责任。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23.2在评审过程中，供应商不得以任何行为影响谈判评审过程，否则其响应文件将被作为无效响应文件。</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23.3在项目评审期间，采购中心将设专门人员与供应商联系。</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3.4 采购中心和谈判小组不向未成交的供应商解释未成交原因，也不公布评审过程中的相关细节。</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bookmarkStart w:id="26" w:name="_Toc513029232"/>
      <w:r/>
      <w:bookmarkStart w:id="27" w:name="_Toc20823304"/>
      <w:r/>
      <w:bookmarkStart w:id="28" w:name="_Toc16938548"/>
      <w:r>
        <w:rPr>
          <w:rFonts w:hint="eastAsia" w:ascii="仿宋" w:hAnsi="仿宋" w:eastAsia="仿宋"/>
          <w:sz w:val="28"/>
          <w:szCs w:val="28"/>
          <w:highlight w:val="none"/>
        </w:rPr>
        <w:t xml:space="preserve">24.评审过程中的的澄清</w:t>
      </w:r>
      <w:bookmarkEnd w:id="26"/>
      <w:r/>
      <w:bookmarkEnd w:id="27"/>
      <w:r/>
      <w:bookmarkEnd w:id="28"/>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 接到谈判小组澄清、说明和更正要求的供应商如未按规定做出澄清、说明和更正，其风险由供应商自行承担。</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bookmarkStart w:id="29" w:name="_Toc513029233"/>
      <w:r/>
      <w:bookmarkStart w:id="30" w:name="_Toc20823305"/>
      <w:r/>
      <w:bookmarkStart w:id="31" w:name="_Toc16938549"/>
      <w:r>
        <w:rPr>
          <w:rFonts w:hint="eastAsia" w:ascii="仿宋" w:hAnsi="仿宋" w:eastAsia="仿宋"/>
          <w:sz w:val="28"/>
          <w:szCs w:val="28"/>
          <w:highlight w:val="none"/>
        </w:rPr>
        <w:t xml:space="preserve">25.对响应文件的审</w:t>
      </w:r>
      <w:bookmarkEnd w:id="29"/>
      <w:r/>
      <w:bookmarkEnd w:id="30"/>
      <w:r/>
      <w:bookmarkEnd w:id="31"/>
      <w:r>
        <w:rPr>
          <w:rFonts w:hint="eastAsia" w:ascii="仿宋" w:hAnsi="仿宋" w:eastAsia="仿宋"/>
          <w:sz w:val="28"/>
          <w:szCs w:val="28"/>
          <w:highlight w:val="none"/>
        </w:rPr>
        <w:t xml:space="preserve">查</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25.1响应文件审查分为资格审查和符合性审查。</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 资格审查：由谈判小组依据法律法规和谈判文件的规定，对响应文件中的资格证明文件进行审查，以确定供应商是否具备参加谈判的资格。</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谈判小组在进行资格审查的同时，将在“信用中国”网站（www.creditchina.gov.cn）查询供应商的信用记录，以确定供应商是否具备谈判资格,查询结果留存并归档。</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25.1.2 符合性审查：依据谈判文件的规定，由谈判小组从响应文件的有效性、完整性和对谈判文件的响应程度进行审查，以确定是否对谈判文件的实质性要求作出响应。</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25.1.3 未通过资格审查或符合性审查的供应商，谈判小组将在苏采云系统中告知未通过资格审查或符合性审查的原因，评审结束后，谈判小组将不再告知未通过资格审查或符合性审查的原因。</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25.3未实质性响应谈判文件的情形</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25.3.1供应商在苏采云系统规定的时间内未成功解密电子响应文件的。</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25.3.2供应商未按照谈判文件要求上传电子响应文件的。</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25.3.3同一供应商提交两个（含两个）以上不同的响应文件或者最后报价的。</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25.3.4供应商不具备谈判文件中规定资格要求的。</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25.3.5供应商的最后报价超过了采购预算。</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25.3.6不符合谈判文件中规定的实质性要求和条件的（实质性要求和条件是指本招标文件中用带星号（“★”）的商务和技术要求）。</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25.3.8  响应文件含有采购人不能接受的附加条件的。</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25.3.9按照第 36.4的要求本项目中具有“强制采购”产品，但未提供经国家确定的认证机构出具的、处于有效期之内该节能产品认证证书图片的；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25.3.10响应文件未按照谈判文件要求加盖CA电子公章的。</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25.4未实质性响应谈判文件的响应文件按无效响应处理。</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25.5如果响应文件实质上没有响应谈判文件的要求，谈判小组将予以拒绝，供应商不得通过修改或撤销不合要求的偏离或保留而使其成为实质性响应的文件。</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25.6供应商在项目评审全过程中应保持通讯畅通，并安排专人与采购中心及谈判小组联系。</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26.谈判程序及评审标准</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26.1谈判程序</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已提交响应文件的供应商，在提交最后报价之前，可以根据谈判情况退出谈判</w:t>
      </w:r>
      <w:r>
        <w:rPr>
          <w:rFonts w:hint="eastAsia" w:ascii="仿宋" w:hAnsi="仿宋" w:eastAsia="仿宋"/>
          <w:sz w:val="28"/>
          <w:szCs w:val="28"/>
          <w:highlight w:val="none"/>
        </w:rPr>
        <w:t xml:space="preserve">，并在苏采云系统中提交“退出谈判函”并加盖CA电子公章</w:t>
      </w:r>
      <w:r>
        <w:rPr>
          <w:rFonts w:ascii="仿宋" w:hAnsi="仿宋" w:eastAsia="仿宋"/>
          <w:sz w:val="28"/>
          <w:szCs w:val="28"/>
          <w:highlight w:val="none"/>
        </w:rPr>
        <w:t xml:space="preserve">。</w:t>
      </w:r>
      <w:r>
        <w:rPr>
          <w:rFonts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26.2评审标准</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见本谈判文件第三章规定。</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26.3采购活动终止的情况</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出现下列情形之一的，本次竞争性谈判采购活动将被终止：</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26.3.1因情况变化，不再符合规定的竞争性谈判采购方式适用情形的。</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26.3.2出现影响采购公正的违法、违规行为的。</w:t>
      </w:r>
      <w:r>
        <w:rPr>
          <w:rFonts w:hint="eastAsia" w:ascii="仿宋" w:hAnsi="仿宋" w:eastAsia="仿宋"/>
          <w:sz w:val="28"/>
          <w:szCs w:val="28"/>
          <w:highlight w:val="none"/>
        </w:rPr>
      </w:r>
      <w:r/>
    </w:p>
    <w:p>
      <w:pPr>
        <w:pStyle w:val="651"/>
        <w:ind w:firstLine="565"/>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26.3.3</w:t>
      </w:r>
      <w:r>
        <w:rPr>
          <w:rFonts w:hint="eastAsia" w:ascii="仿宋" w:hAnsi="仿宋" w:eastAsia="仿宋"/>
          <w:sz w:val="28"/>
          <w:highlight w:val="none"/>
        </w:rPr>
        <w:t xml:space="preserve">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26.3.4在苏采云系统规定时间内成功解密电子响应文件的供应商不足3家的。</w:t>
      </w:r>
      <w:r>
        <w:rPr>
          <w:rFonts w:hint="eastAsia" w:ascii="仿宋" w:hAnsi="仿宋" w:eastAsia="仿宋"/>
          <w:sz w:val="28"/>
          <w:szCs w:val="28"/>
          <w:highlight w:val="none"/>
        </w:rPr>
      </w:r>
      <w:r/>
    </w:p>
    <w:p>
      <w:pPr>
        <w:pStyle w:val="651"/>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27.推荐成交候选供应商</w:t>
      </w:r>
      <w:r>
        <w:rPr>
          <w:rFonts w:hint="eastAsia" w:ascii="仿宋" w:hAnsi="仿宋" w:eastAsia="仿宋"/>
          <w:bCs/>
          <w:sz w:val="28"/>
          <w:highlight w:val="none"/>
        </w:rPr>
      </w:r>
      <w:r/>
    </w:p>
    <w:p>
      <w:pPr>
        <w:pStyle w:val="651"/>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27.1谈判小组将对通过资格性审查和符合性审查的响应文件进行评价和比较。</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27.2谈判小组</w:t>
      </w:r>
      <w:r>
        <w:rPr>
          <w:rFonts w:hint="eastAsia" w:ascii="仿宋" w:hAnsi="仿宋" w:eastAsia="仿宋"/>
          <w:sz w:val="28"/>
          <w:szCs w:val="28"/>
          <w:highlight w:val="none"/>
        </w:rPr>
        <w:t xml:space="preserve">按谈判文件第三章中公布的评标标准对每份合格响应文件进行评审，推荐3名成交候选供应商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谈判小组发现谈判文件存在歧义、重大缺陷导致评审工作无法进行，或者谈判文件内容存在违反国家有关规定的，评审工作停止，采购中心修改谈判文件后重新组织采购活动。</w:t>
      </w:r>
      <w:r>
        <w:rPr>
          <w:rFonts w:hint="eastAsia" w:ascii="仿宋" w:hAnsi="仿宋" w:eastAsia="仿宋"/>
          <w:sz w:val="28"/>
          <w:szCs w:val="28"/>
          <w:highlight w:val="none"/>
        </w:rPr>
      </w:r>
      <w:r/>
    </w:p>
    <w:p>
      <w:pPr>
        <w:pStyle w:val="651"/>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28.谈判过程保密</w:t>
      </w:r>
      <w:r>
        <w:rPr>
          <w:rFonts w:hint="eastAsia" w:ascii="仿宋" w:hAnsi="仿宋" w:eastAsia="仿宋"/>
          <w:bCs/>
          <w:sz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28.1在宣布成交结果前，凡属于审查、澄清、谈判、评审响应文件和确定成交等相关信息，</w:t>
      </w:r>
      <w:r>
        <w:rPr>
          <w:rFonts w:hint="eastAsia" w:ascii="仿宋" w:hAnsi="仿宋" w:eastAsia="仿宋"/>
          <w:sz w:val="28"/>
          <w:szCs w:val="28"/>
          <w:highlight w:val="none"/>
        </w:rPr>
        <w:t xml:space="preserve">均不得泄露给任何供应商或与评审工作无关的人员。</w:t>
      </w:r>
      <w:r>
        <w:rPr>
          <w:rFonts w:hint="eastAsia" w:ascii="仿宋" w:hAnsi="仿宋" w:eastAsia="仿宋"/>
          <w:sz w:val="28"/>
          <w:szCs w:val="28"/>
          <w:highlight w:val="none"/>
        </w:rPr>
      </w:r>
      <w:r/>
    </w:p>
    <w:p>
      <w:pPr>
        <w:pStyle w:val="651"/>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28</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供应商不得探听上述信息，不得以任何行为影响谈判过程，否则将被取消成交资格。</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28.3 谈判小组名单在谈判前确定，并在谈判结果确定前保密。</w:t>
      </w:r>
      <w:r>
        <w:rPr>
          <w:rFonts w:hint="eastAsia" w:ascii="仿宋" w:hAnsi="仿宋" w:eastAsia="仿宋"/>
          <w:sz w:val="28"/>
          <w:szCs w:val="28"/>
          <w:highlight w:val="none"/>
        </w:rPr>
      </w:r>
      <w:r/>
    </w:p>
    <w:p>
      <w:pPr>
        <w:pStyle w:val="651"/>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rPr>
          <w:rFonts w:hint="eastAsia" w:ascii="仿宋" w:hAnsi="仿宋" w:eastAsia="仿宋"/>
          <w:b/>
          <w:bCs/>
          <w:sz w:val="32"/>
          <w:szCs w:val="32"/>
          <w:highlight w:val="none"/>
        </w:rPr>
      </w:r>
      <w:r/>
    </w:p>
    <w:p>
      <w:pPr>
        <w:pStyle w:val="651"/>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29.确定成交供应商</w:t>
      </w:r>
      <w:r>
        <w:rPr>
          <w:rFonts w:hint="eastAsia" w:ascii="仿宋" w:hAnsi="仿宋" w:eastAsia="仿宋"/>
          <w:bCs/>
          <w:sz w:val="28"/>
          <w:highlight w:val="none"/>
        </w:rPr>
      </w:r>
      <w:r/>
    </w:p>
    <w:p>
      <w:pPr>
        <w:pStyle w:val="651"/>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29.1采购人将从谈判小组推荐的符合采购需求的成交候选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29.2采购中心将在淮安市政府采购网发布成交结果公告。</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30.成交通知书</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31.签订合同</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31.1采购人与成交供应商应在成交通知书发出之日起三十日内签订政府采购合同。谈判文件、成交供应商的响应文件及澄清文件等均为签订合同依据。</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31.2成交供应商自成交通知书发出之日起三十日内无正当理由不与采购人签订合同的，将按规定进行处理。</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32.货物和服务的减少</w:t>
      </w:r>
      <w:r>
        <w:rPr>
          <w:rFonts w:hint="eastAsia" w:ascii="仿宋" w:hAnsi="仿宋" w:eastAsia="仿宋"/>
          <w:sz w:val="28"/>
          <w:szCs w:val="28"/>
          <w:highlight w:val="none"/>
        </w:rPr>
      </w:r>
      <w:r/>
    </w:p>
    <w:p>
      <w:pPr>
        <w:pStyle w:val="651"/>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32.1采购结束后，采购人若由于各种客观原因，必须对采购项目所牵涉的货物和服务进行适当的减少时，在双方协商一致的前提下，可以按照谈判时的价格水平做相应的调减，并据此签订补充合同。</w:t>
      </w:r>
      <w:r>
        <w:rPr>
          <w:rFonts w:hint="eastAsia" w:ascii="仿宋" w:hAnsi="仿宋" w:eastAsia="仿宋"/>
          <w:sz w:val="28"/>
          <w:szCs w:val="28"/>
          <w:highlight w:val="none"/>
        </w:rPr>
      </w:r>
      <w:r/>
    </w:p>
    <w:p>
      <w:pPr>
        <w:pStyle w:val="651"/>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rPr>
          <w:rFonts w:hint="eastAsia" w:ascii="仿宋" w:hAnsi="仿宋" w:eastAsia="仿宋"/>
          <w:b/>
          <w:sz w:val="32"/>
          <w:szCs w:val="32"/>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rPr>
          <w:rFonts w:hint="eastAsia"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33.2上述应知其权益受到损害之日是指:</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（1）对谈判文件提出质疑的，为采购文件公告期限届满之日起计算；</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33.3质疑供应商是指直接参加本次谈判活动的供应商，未参加谈判活动的供应商或在谈判活动中自身权益未受到损害的供应商所提出的质疑不予受理。</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33.4质疑供应商在法定质疑期内应当一次性针对同一采购环节提出质疑。</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33.5质疑函应当包括以下主要内容，附上相关证明材料。否则，采购中心不予受理。</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33.7对于内容、格式符合规定的质疑函，采购中心将在七个工作日内以电子文件的形式作出答复，但质疑答复的内容不涉及商业秘密。如果质疑供应商还需要纸质形式回复函的，需主动与采购中心联系索取，或者在质疑函中明确提出该要求。</w:t>
      </w:r>
      <w:r>
        <w:rPr>
          <w:rFonts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33.8供应商提出的质疑必须有理、有据，不得恶意质疑或提交虚假质疑。否则，一经查实，采购中心有权依据政府采购的有关规定，报请淮安市财政局政府采购管理处对该供应商列入失信行为或不良行为记录名单，进行相应的行政处罚。</w:t>
      </w:r>
      <w:r>
        <w:rPr>
          <w:rFonts w:ascii="仿宋" w:hAnsi="仿宋" w:eastAsia="仿宋"/>
          <w:sz w:val="28"/>
          <w:szCs w:val="28"/>
          <w:highlight w:val="none"/>
        </w:rPr>
      </w:r>
      <w:r/>
    </w:p>
    <w:p>
      <w:pPr>
        <w:pStyle w:val="651"/>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34.政策功能落实</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34.1小微型企业价格扣除</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34.2联合体及分包</w:t>
      </w:r>
      <w:r>
        <w:rPr>
          <w:rFonts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34.3小微型企业</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（1）供应商须按照谈判文件的要求提供相应的《企业声明函》，详见谈判文件第六章示范格式。</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34.4残疾人福利单位</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34.5监狱和戒毒企业</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（1）监狱企业参加政府采购活动时，需提供由省级以上监狱管理局、戒毒管理局（含新疆生产建设兵团）出具的属于监狱企业的证明文件）（谈判文件中上传加盖出具单位公章的电子件）。</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 节能、环保政策</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35.2节能产品（本项目不涉及）</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35.3环保产品（本项目不涉及）</w:t>
      </w:r>
      <w:r>
        <w:rPr>
          <w:rFonts w:hint="eastAsia" w:ascii="仿宋" w:hAnsi="仿宋" w:eastAsia="仿宋"/>
          <w:sz w:val="28"/>
          <w:szCs w:val="28"/>
          <w:highlight w:val="none"/>
        </w:rPr>
      </w:r>
      <w:r/>
    </w:p>
    <w:p>
      <w:pPr>
        <w:pStyle w:val="651"/>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51"/>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35.4本项目中实行“强制采购”的，需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w:t>
      </w:r>
      <w:r>
        <w:rPr>
          <w:rFonts w:hint="eastAsia" w:ascii="仿宋" w:hAnsi="仿宋" w:eastAsia="仿宋"/>
          <w:sz w:val="28"/>
          <w:szCs w:val="28"/>
          <w:highlight w:val="none"/>
        </w:rPr>
        <w:t xml:space="preserve">给予谈判总报价2%的价格扣除</w:t>
      </w:r>
      <w:r>
        <w:rPr>
          <w:rFonts w:hint="eastAsia" w:ascii="仿宋" w:hAnsi="仿宋" w:eastAsia="仿宋"/>
          <w:sz w:val="28"/>
          <w:highlight w:val="none"/>
        </w:rPr>
        <w:t xml:space="preserve">（详见第三章评标标准）。</w:t>
      </w:r>
      <w:r>
        <w:rPr>
          <w:rFonts w:hint="eastAsia" w:ascii="仿宋" w:hAnsi="仿宋" w:eastAsia="仿宋"/>
          <w:sz w:val="28"/>
          <w:highlight w:val="none"/>
        </w:rPr>
      </w:r>
      <w:r/>
    </w:p>
    <w:p>
      <w:pPr>
        <w:pStyle w:val="651"/>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51"/>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38．政府绿色采购</w:t>
      </w:r>
      <w:r>
        <w:rPr>
          <w:rFonts w:hint="eastAsia" w:ascii="仿宋" w:hAnsi="仿宋" w:eastAsia="仿宋"/>
          <w:bCs/>
          <w:color w:val="000000"/>
          <w:sz w:val="28"/>
          <w:szCs w:val="28"/>
          <w:highlight w:val="none"/>
        </w:rPr>
      </w:r>
      <w:r/>
    </w:p>
    <w:p>
      <w:pPr>
        <w:pStyle w:val="651"/>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674"/>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szCs w:val="28"/>
          <w:highlight w:val="none"/>
        </w:rPr>
      </w:r>
      <w:r/>
    </w:p>
    <w:p>
      <w:pPr>
        <w:pStyle w:val="674"/>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highlight w:val="none"/>
        </w:rPr>
      </w:r>
      <w:r/>
    </w:p>
    <w:p>
      <w:pPr>
        <w:pStyle w:val="674"/>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39. 履约资金扶持政策</w:t>
      </w:r>
      <w:r>
        <w:rPr>
          <w:rFonts w:hint="eastAsia"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674"/>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3054"/>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rPr>
          <w:rFonts w:hint="eastAsia" w:ascii="仿宋" w:hAnsi="仿宋" w:eastAsia="仿宋"/>
          <w:b/>
          <w:sz w:val="36"/>
          <w:szCs w:val="36"/>
          <w:highlight w:val="none"/>
        </w:rPr>
      </w:r>
      <w:r/>
    </w:p>
    <w:p>
      <w:pPr>
        <w:pStyle w:val="651"/>
        <w:ind w:firstLine="548"/>
        <w:spacing w:line="520" w:lineRule="exact"/>
        <w:rPr>
          <w:rFonts w:hint="eastAsia" w:ascii="仿宋" w:hAnsi="仿宋" w:eastAsia="仿宋"/>
          <w:b/>
          <w:sz w:val="28"/>
          <w:szCs w:val="28"/>
          <w:highlight w:val="none"/>
        </w:rPr>
      </w:pPr>
      <w:r>
        <w:rPr>
          <w:rFonts w:hint="eastAsia" w:ascii="仿宋" w:hAnsi="仿宋" w:eastAsia="仿宋"/>
          <w:sz w:val="28"/>
          <w:highlight w:val="none"/>
        </w:rPr>
        <w:t xml:space="preserve">一、谈判小组在推荐成交候选供应商时将考虑以下因素:</w:t>
      </w:r>
      <w:r>
        <w:rPr>
          <w:rFonts w:hint="eastAsia" w:ascii="仿宋" w:hAnsi="仿宋" w:eastAsia="仿宋"/>
          <w:b/>
          <w:sz w:val="28"/>
          <w:szCs w:val="28"/>
          <w:highlight w:val="none"/>
        </w:rPr>
      </w:r>
      <w:r/>
    </w:p>
    <w:p>
      <w:pPr>
        <w:pStyle w:val="651"/>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（1）谈判报价；</w:t>
      </w:r>
      <w:r>
        <w:rPr>
          <w:rFonts w:hint="eastAsia" w:ascii="仿宋" w:hAnsi="仿宋" w:eastAsia="仿宋"/>
          <w:b/>
          <w:sz w:val="28"/>
          <w:szCs w:val="28"/>
          <w:highlight w:val="none"/>
        </w:rPr>
      </w:r>
      <w:r/>
    </w:p>
    <w:p>
      <w:pPr>
        <w:pStyle w:val="651"/>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（2）货物的质量、性能、技术参数响应；</w:t>
      </w:r>
      <w:r>
        <w:rPr>
          <w:rFonts w:hint="eastAsia" w:ascii="仿宋" w:hAnsi="仿宋" w:eastAsia="仿宋"/>
          <w:b/>
          <w:sz w:val="28"/>
          <w:szCs w:val="28"/>
          <w:highlight w:val="none"/>
        </w:rPr>
      </w:r>
      <w:r/>
    </w:p>
    <w:p>
      <w:pPr>
        <w:pStyle w:val="651"/>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（3）供应商承诺的售后服务等。</w:t>
      </w:r>
      <w:r>
        <w:rPr>
          <w:rFonts w:hint="eastAsia" w:ascii="仿宋" w:hAnsi="仿宋" w:eastAsia="仿宋"/>
          <w:sz w:val="28"/>
          <w:szCs w:val="28"/>
          <w:highlight w:val="none"/>
        </w:rPr>
      </w:r>
      <w:r/>
    </w:p>
    <w:p>
      <w:pPr>
        <w:pStyle w:val="651"/>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二、评标标准</w:t>
      </w:r>
      <w:r>
        <w:rPr>
          <w:rFonts w:hint="eastAsia" w:ascii="仿宋" w:hAnsi="仿宋" w:eastAsia="仿宋"/>
          <w:sz w:val="28"/>
          <w:szCs w:val="28"/>
          <w:highlight w:val="none"/>
        </w:rPr>
      </w:r>
      <w:r/>
    </w:p>
    <w:p>
      <w:pPr>
        <w:pStyle w:val="651"/>
        <w:ind w:firstLine="817"/>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本项目采用最低评标价法进行评审。</w:t>
      </w:r>
      <w:r>
        <w:rPr>
          <w:rFonts w:hint="eastAsia" w:ascii="仿宋" w:hAnsi="仿宋" w:eastAsia="仿宋"/>
          <w:sz w:val="28"/>
          <w:szCs w:val="28"/>
          <w:highlight w:val="none"/>
        </w:rPr>
        <w:t xml:space="preserve">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highlight w:val="none"/>
          <w:lang w:val="zh-CN"/>
        </w:rPr>
        <w:t xml:space="preserve">以扣除后价格的进行评审）</w:t>
      </w:r>
      <w:r>
        <w:rPr>
          <w:rFonts w:hint="eastAsia" w:ascii="仿宋" w:hAnsi="仿宋" w:eastAsia="仿宋"/>
          <w:sz w:val="28"/>
          <w:szCs w:val="28"/>
          <w:highlight w:val="none"/>
        </w:rPr>
        <w:t xml:space="preserve">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rPr>
          <w:rFonts w:hint="eastAsia" w:ascii="仿宋" w:hAnsi="仿宋" w:eastAsia="仿宋"/>
          <w:sz w:val="28"/>
          <w:szCs w:val="28"/>
          <w:highlight w:val="none"/>
        </w:rPr>
      </w:r>
      <w:r/>
    </w:p>
    <w:p>
      <w:pPr>
        <w:pStyle w:val="651"/>
        <w:ind w:firstLine="539"/>
        <w:spacing w:line="520" w:lineRule="exact"/>
        <w:rPr>
          <w:rFonts w:hint="eastAsia" w:ascii="仿宋" w:hAnsi="仿宋" w:eastAsia="仿宋"/>
          <w:sz w:val="28"/>
          <w:highlight w:val="none"/>
        </w:rPr>
      </w:pPr>
      <w:r>
        <w:rPr>
          <w:rFonts w:hint="eastAsia" w:ascii="仿宋" w:hAnsi="仿宋" w:eastAsia="仿宋"/>
          <w:sz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第四章  合同格式及条款</w:t>
      </w:r>
      <w:r>
        <w:rPr>
          <w:rFonts w:hint="eastAsia" w:ascii="仿宋" w:hAnsi="仿宋" w:eastAsia="仿宋"/>
          <w:b/>
          <w:bCs/>
          <w:sz w:val="36"/>
          <w:szCs w:val="36"/>
          <w:highlight w:val="none"/>
        </w:rPr>
      </w:r>
      <w:r/>
    </w:p>
    <w:p>
      <w:pPr>
        <w:pStyle w:val="651"/>
        <w:ind w:firstLine="551"/>
        <w:spacing w:line="64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highlight w:val="none"/>
        </w:rPr>
      </w:r>
      <w:r/>
    </w:p>
    <w:p>
      <w:pPr>
        <w:pStyle w:val="651"/>
        <w:jc w:val="left"/>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甲、乙双方通过采购人平台和供应商平台签订电子合同（加盖电子签章）。</w:t>
      </w:r>
      <w:r>
        <w:rPr>
          <w:rFonts w:hint="eastAsia" w:ascii="仿宋" w:hAnsi="仿宋" w:eastAsia="仿宋"/>
          <w:b/>
          <w:bCs/>
          <w:sz w:val="28"/>
          <w:szCs w:val="28"/>
          <w:highlight w:val="none"/>
        </w:rPr>
      </w:r>
      <w:r/>
    </w:p>
    <w:p>
      <w:pPr>
        <w:pStyle w:val="651"/>
        <w:jc w:val="left"/>
        <w:spacing w:line="520" w:lineRule="exact"/>
        <w:rPr>
          <w:rFonts w:hint="eastAsia" w:ascii="宋体" w:hAnsi="宋体" w:cs="Arial Unicode MS"/>
          <w:color w:val="000000"/>
          <w:sz w:val="28"/>
          <w:szCs w:val="28"/>
          <w:highlight w:val="none"/>
        </w:rPr>
      </w:pPr>
      <w:r>
        <w:rPr>
          <w:rFonts w:hint="eastAsia" w:ascii="宋体" w:hAnsi="宋体" w:cs="Arial Unicode MS"/>
          <w:color w:val="000000"/>
          <w:sz w:val="28"/>
          <w:szCs w:val="28"/>
          <w:highlight w:val="none"/>
        </w:rPr>
      </w:r>
      <w:r/>
    </w:p>
    <w:p>
      <w:pPr>
        <w:pStyle w:val="664"/>
        <w:ind w:firstLine="362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651"/>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664"/>
        <w:spacing w:line="520" w:lineRule="exact"/>
        <w:rPr>
          <w:rFonts w:hint="eastAsia" w:ascii="仿宋" w:hAnsi="仿宋" w:eastAsia="仿宋"/>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664"/>
        <w:ind w:firstLine="63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甲、乙双方根据项目编号JSZC-320830-JZCG-T2025-001的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采购项目竞争性谈判采购结果及谈判文件的要求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664"/>
        <w:ind w:left="-359" w:firstLine="963"/>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664"/>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664"/>
        <w:ind w:left="-359"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664"/>
        <w:ind w:firstLine="49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本合同的总金额(大写)为___________元人民币，分项价格详见乙方提交的谈判报价表。</w:t>
      </w:r>
      <w:r>
        <w:rPr>
          <w:rFonts w:hint="eastAsia" w:ascii="仿宋" w:hAnsi="仿宋" w:eastAsia="仿宋"/>
          <w:sz w:val="28"/>
          <w:szCs w:val="24"/>
          <w:highlight w:val="none"/>
        </w:rPr>
      </w:r>
      <w:r/>
    </w:p>
    <w:p>
      <w:pPr>
        <w:pStyle w:val="664"/>
        <w:ind w:left="-359" w:firstLine="963"/>
        <w:spacing w:line="520" w:lineRule="exact"/>
        <w:rPr>
          <w:rFonts w:hint="eastAsia" w:ascii="仿宋" w:hAnsi="仿宋" w:eastAsia="仿宋"/>
          <w:bCs/>
          <w:sz w:val="28"/>
          <w:szCs w:val="32"/>
          <w:highlight w:val="none"/>
        </w:rPr>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66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本合同供货时间和地点在谈判文件中有明确规定。</w:t>
      </w:r>
      <w:r>
        <w:rPr>
          <w:rFonts w:hint="eastAsia" w:ascii="仿宋" w:hAnsi="仿宋" w:eastAsia="仿宋"/>
          <w:sz w:val="28"/>
          <w:szCs w:val="28"/>
          <w:highlight w:val="none"/>
        </w:rPr>
      </w:r>
      <w:r/>
    </w:p>
    <w:p>
      <w:pPr>
        <w:pStyle w:val="664"/>
        <w:ind w:left="-357"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664"/>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本合同的付款条件在谈判文件中有明确规定。</w:t>
      </w:r>
      <w:r>
        <w:rPr>
          <w:rFonts w:hint="eastAsia" w:ascii="仿宋" w:hAnsi="仿宋" w:eastAsia="仿宋"/>
          <w:sz w:val="28"/>
          <w:szCs w:val="24"/>
          <w:highlight w:val="none"/>
        </w:rPr>
      </w:r>
      <w:r/>
    </w:p>
    <w:p>
      <w:pPr>
        <w:pStyle w:val="66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五、验收</w:t>
      </w:r>
      <w:r>
        <w:rPr>
          <w:rFonts w:hint="eastAsia" w:ascii="仿宋" w:hAnsi="仿宋" w:eastAsia="仿宋"/>
          <w:sz w:val="28"/>
          <w:szCs w:val="28"/>
          <w:highlight w:val="none"/>
        </w:rPr>
      </w:r>
      <w:r/>
    </w:p>
    <w:p>
      <w:pPr>
        <w:pStyle w:val="66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甲方按谈判文件相关要求进行。如需委托第三方验收，第三方是指: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6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66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w:t>
      </w:r>
      <w:r>
        <w:rPr>
          <w:rFonts w:ascii="仿宋" w:hAnsi="仿宋" w:eastAsia="仿宋"/>
          <w:sz w:val="28"/>
          <w:szCs w:val="28"/>
          <w:highlight w:val="none"/>
          <w:u w:val="single"/>
        </w:rPr>
        <w:t xml:space="preserve">_</w:t>
      </w:r>
      <w:r>
        <w:rPr>
          <w:rFonts w:hint="eastAsia" w:ascii="仿宋" w:hAnsi="仿宋" w:eastAsia="仿宋"/>
          <w:sz w:val="28"/>
          <w:szCs w:val="28"/>
          <w:highlight w:val="none"/>
          <w:u w:val="single"/>
          <w:lang w:val="en-US" w:eastAsia="zh-CN"/>
        </w:rPr>
        <w:t xml:space="preserve">10000</w:t>
      </w:r>
      <w:r>
        <w:rPr>
          <w:rFonts w:ascii="仿宋" w:hAnsi="仿宋" w:eastAsia="仿宋"/>
          <w:sz w:val="28"/>
          <w:szCs w:val="28"/>
          <w:highlight w:val="none"/>
          <w:u w:val="single"/>
        </w:rPr>
        <w:t xml:space="preserve">_</w:t>
      </w:r>
      <w:r>
        <w:rPr>
          <w:rFonts w:ascii="仿宋" w:hAnsi="仿宋" w:eastAsia="仿宋"/>
          <w:sz w:val="28"/>
          <w:szCs w:val="28"/>
          <w:highlight w:val="none"/>
        </w:rPr>
        <w:t xml:space="preserve">元作为本合同的履约保证金。</w:t>
      </w:r>
      <w:r>
        <w:rPr>
          <w:rFonts w:hint="eastAsia" w:ascii="仿宋" w:hAnsi="仿宋" w:eastAsia="仿宋"/>
          <w:sz w:val="28"/>
          <w:szCs w:val="28"/>
          <w:highlight w:val="none"/>
        </w:rPr>
      </w:r>
      <w:r/>
    </w:p>
    <w:p>
      <w:pPr>
        <w:pStyle w:val="651"/>
        <w:numPr>
          <w:ilvl w:val="0"/>
          <w:numId w:val="2"/>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651"/>
        <w:numPr>
          <w:ilvl w:val="0"/>
          <w:numId w:val="2"/>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651"/>
        <w:numPr>
          <w:ilvl w:val="0"/>
          <w:numId w:val="2"/>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5、如乙方未能履行合同规定的义务，甲方有权从履约保证金中取得补偿。</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个工作日内，甲方应将履约保证金退还乙方；逾期退还的，按中国人民银行同期贷款基利率上浮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7、履约保证金在合同约定期间内不予退还或者应完全有效，履约保证金在项目验收合格后无息退还给乙方。</w:t>
      </w:r>
      <w:r>
        <w:rPr>
          <w:rFonts w:hint="eastAsia" w:ascii="仿宋" w:hAnsi="仿宋" w:eastAsia="仿宋"/>
          <w:sz w:val="28"/>
          <w:szCs w:val="28"/>
          <w:highlight w:val="none"/>
        </w:rPr>
      </w:r>
      <w:r/>
    </w:p>
    <w:p>
      <w:pPr>
        <w:pStyle w:val="664"/>
        <w:ind w:firstLine="56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、申请仲裁。选定仲裁机构为淮安市仲裁委员会。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8"/>
          <w:highlight w:val="none"/>
        </w:rPr>
      </w:r>
      <w:r/>
    </w:p>
    <w:p>
      <w:pPr>
        <w:pStyle w:val="651"/>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651"/>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2、谈判文件和乙方的响应文件；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3、成交通知书；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4、甲乙双方商定的其他必要文件。上述合同文件内容互为补充，如有不明确，由甲方负责解释。</w:t>
      </w:r>
      <w:r>
        <w:rPr>
          <w:rFonts w:hint="eastAsia" w:ascii="仿宋" w:hAnsi="仿宋" w:eastAsia="仿宋"/>
          <w:sz w:val="28"/>
          <w:szCs w:val="28"/>
          <w:highlight w:val="none"/>
        </w:rPr>
      </w:r>
      <w:r/>
    </w:p>
    <w:p>
      <w:pPr>
        <w:pStyle w:val="664"/>
        <w:spacing w:line="520" w:lineRule="exact"/>
        <w:rPr>
          <w:rFonts w:hint="eastAsia" w:ascii="仿宋" w:hAnsi="仿宋" w:eastAsia="仿宋"/>
          <w:sz w:val="28"/>
          <w:highlight w:val="none"/>
        </w:rPr>
      </w:pPr>
      <w:r>
        <w:rPr>
          <w:rFonts w:hint="eastAsia" w:ascii="仿宋" w:hAnsi="仿宋" w:eastAsia="仿宋"/>
          <w:sz w:val="28"/>
          <w:highlight w:val="none"/>
        </w:rPr>
      </w:r>
      <w:r/>
    </w:p>
    <w:p>
      <w:pPr>
        <w:pStyle w:val="66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6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64"/>
        <w:spacing w:line="520" w:lineRule="exact"/>
        <w:rPr>
          <w:rFonts w:hint="eastAsia" w:ascii="仿宋" w:hAnsi="仿宋" w:eastAsia="仿宋"/>
          <w:sz w:val="28"/>
          <w:szCs w:val="24"/>
          <w:highlight w:val="none"/>
        </w:rPr>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66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66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66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签定日期:                          签定日期:</w:t>
      </w:r>
      <w:r>
        <w:rPr>
          <w:rFonts w:hint="eastAsia" w:ascii="仿宋" w:hAnsi="仿宋" w:eastAsia="仿宋"/>
          <w:sz w:val="28"/>
          <w:szCs w:val="24"/>
          <w:highlight w:val="none"/>
        </w:rPr>
      </w:r>
      <w:r/>
    </w:p>
    <w:p>
      <w:pPr>
        <w:pStyle w:val="66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t xml:space="preserve">       </w:t>
      </w: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rPr>
          <w:rFonts w:hint="eastAsia" w:ascii="宋体" w:hAnsi="宋体"/>
          <w:bCs/>
          <w:sz w:val="32"/>
          <w:szCs w:val="32"/>
          <w:highlight w:val="none"/>
        </w:rPr>
      </w:pPr>
      <w:r>
        <w:rPr>
          <w:rFonts w:hint="eastAsia" w:ascii="宋体" w:hAnsi="宋体"/>
          <w:bCs/>
          <w:sz w:val="32"/>
          <w:szCs w:val="32"/>
          <w:highlight w:val="none"/>
        </w:rPr>
      </w:r>
      <w:r/>
    </w:p>
    <w:p>
      <w:pPr>
        <w:pStyle w:val="651"/>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651"/>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651"/>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651"/>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651"/>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651"/>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651"/>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（6）“乙方”系指根据合同规定提供货物（含软件及相关服务）和服务的供应商。</w:t>
      </w:r>
      <w:r>
        <w:rPr>
          <w:rFonts w:hint="eastAsia" w:ascii="仿宋" w:hAnsi="仿宋" w:eastAsia="仿宋"/>
          <w:sz w:val="28"/>
          <w:highlight w:val="none"/>
        </w:rPr>
      </w:r>
      <w:r/>
    </w:p>
    <w:p>
      <w:pPr>
        <w:pStyle w:val="651"/>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651"/>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谈判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4.1除合同另有规定外，乙方提供的全部货物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4.2每件包装箱内应附一份详细装箱单和质量合格证。</w:t>
      </w:r>
      <w:r>
        <w:rPr>
          <w:rFonts w:hint="eastAsia" w:ascii="仿宋" w:hAnsi="仿宋" w:eastAsia="仿宋"/>
          <w:sz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651"/>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6.3甲方将按谈判文件中规定的付款方式安排付款。</w:t>
      </w:r>
      <w:r>
        <w:rPr>
          <w:rFonts w:hint="eastAsia" w:ascii="仿宋" w:hAnsi="仿宋" w:eastAsia="仿宋"/>
          <w:sz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651"/>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651"/>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651"/>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51"/>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51"/>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651"/>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货物（含软件及相关服务）的安装按谈判文件要求进行。</w:t>
      </w:r>
      <w:r>
        <w:rPr>
          <w:rFonts w:hint="eastAsia" w:ascii="仿宋" w:hAnsi="仿宋" w:eastAsia="仿宋"/>
          <w:sz w:val="28"/>
          <w:szCs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651"/>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651"/>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0天内，乙方未能答复，上</w:t>
      </w:r>
      <w:r>
        <w:rPr>
          <w:rFonts w:hint="eastAsia" w:ascii="仿宋" w:hAnsi="仿宋" w:eastAsia="仿宋"/>
          <w:sz w:val="28"/>
          <w:szCs w:val="28"/>
          <w:highlight w:val="none"/>
          <w:lang w:val="en-US" w:eastAsia="zh-CN"/>
        </w:rPr>
        <w:t xml:space="preserve">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651"/>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如果乙方毫无理由地拖延交货，将受到以下制裁:没收履约保证金，加收违约损失赔偿和／或终止合同。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651"/>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651"/>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651"/>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651"/>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651"/>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w:t>
      </w:r>
      <w:r>
        <w:rPr>
          <w:rFonts w:ascii="仿宋" w:hAnsi="仿宋" w:eastAsia="仿宋"/>
          <w:sz w:val="28"/>
          <w:szCs w:val="28"/>
          <w:highlight w:val="none"/>
        </w:rPr>
        <w:t xml:space="preserve">“</w:t>
      </w:r>
      <w:r>
        <w:rPr>
          <w:rFonts w:hint="eastAsia" w:ascii="仿宋" w:hAnsi="仿宋" w:eastAsia="仿宋"/>
          <w:sz w:val="28"/>
          <w:szCs w:val="28"/>
          <w:highlight w:val="none"/>
        </w:rPr>
        <w:t xml:space="preserve">中华人民共和国合同法</w:t>
      </w:r>
      <w:r>
        <w:rPr>
          <w:rFonts w:ascii="仿宋" w:hAnsi="仿宋" w:eastAsia="仿宋"/>
          <w:sz w:val="28"/>
          <w:szCs w:val="28"/>
          <w:highlight w:val="none"/>
        </w:rPr>
        <w:t xml:space="preserve">”</w:t>
      </w:r>
      <w:r>
        <w:rPr>
          <w:rFonts w:hint="eastAsia" w:ascii="仿宋" w:hAnsi="仿宋" w:eastAsia="仿宋"/>
          <w:sz w:val="28"/>
          <w:szCs w:val="28"/>
          <w:highlight w:val="none"/>
        </w:rPr>
        <w:t xml:space="preserve">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51"/>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651"/>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在仲裁期间，除正在进行仲裁的部分外，合同其它部分继续执行。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651"/>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38"/>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（1）如果乙方未能在合同规定的期限或甲方同意延期的限期内提供全部或部分货物（含软件及相关服务）；</w:t>
      </w:r>
      <w:r>
        <w:rPr>
          <w:rFonts w:hAnsi="仿宋" w:cs="Times New Roman"/>
          <w:color w:val="000000"/>
          <w:sz w:val="28"/>
          <w:szCs w:val="28"/>
          <w:highlight w:val="none"/>
        </w:rPr>
        <w:t xml:space="preserve"> </w:t>
      </w:r>
      <w:r>
        <w:rPr>
          <w:rFonts w:hint="eastAsia" w:hAnsi="仿宋" w:cs="Times New Roman"/>
          <w:color w:val="000000"/>
          <w:sz w:val="28"/>
          <w:szCs w:val="28"/>
          <w:highlight w:val="none"/>
        </w:rPr>
      </w:r>
      <w:r/>
    </w:p>
    <w:p>
      <w:pPr>
        <w:pStyle w:val="738"/>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w:t>
      </w:r>
      <w:r>
        <w:rPr>
          <w:rFonts w:hAnsi="仿宋" w:cs="Times New Roman"/>
          <w:color w:val="000000"/>
          <w:sz w:val="28"/>
          <w:szCs w:val="28"/>
          <w:highlight w:val="none"/>
        </w:rPr>
        <w:t xml:space="preserve">2</w:t>
      </w:r>
      <w:r>
        <w:rPr>
          <w:rFonts w:hint="eastAsia" w:hAnsi="仿宋" w:cs="Times New Roman"/>
          <w:color w:val="000000"/>
          <w:sz w:val="28"/>
          <w:szCs w:val="28"/>
          <w:highlight w:val="none"/>
        </w:rPr>
        <w:t xml:space="preserve">）如果乙方未能履行合同规定的其它义务。</w:t>
      </w:r>
      <w:r>
        <w:rPr>
          <w:rFonts w:hAnsi="仿宋" w:cs="Times New Roman"/>
          <w:color w:val="000000"/>
          <w:sz w:val="28"/>
          <w:szCs w:val="28"/>
          <w:highlight w:val="none"/>
        </w:rPr>
        <w:t xml:space="preserve"> </w:t>
      </w:r>
      <w:r>
        <w:rPr>
          <w:rFonts w:hint="eastAsia" w:hAnsi="仿宋" w:cs="Times New Roman"/>
          <w:color w:val="000000"/>
          <w:sz w:val="28"/>
          <w:szCs w:val="28"/>
          <w:highlight w:val="none"/>
        </w:rPr>
      </w:r>
      <w:r/>
    </w:p>
    <w:p>
      <w:pPr>
        <w:pStyle w:val="738"/>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16</w:t>
      </w:r>
      <w:r>
        <w:rPr>
          <w:rFonts w:hAnsi="仿宋" w:cs="Times New Roman"/>
          <w:color w:val="000000"/>
          <w:sz w:val="28"/>
          <w:szCs w:val="28"/>
          <w:highlight w:val="none"/>
        </w:rPr>
        <w:t xml:space="preserve">.2 </w:t>
      </w:r>
      <w:r>
        <w:rPr>
          <w:rFonts w:hint="eastAsia" w:hAnsi="仿宋" w:cs="Times New Roman"/>
          <w:color w:val="000000"/>
          <w:sz w:val="28"/>
          <w:szCs w:val="28"/>
          <w:highlight w:val="none"/>
        </w:rPr>
        <w:t xml:space="preserve">在甲方根据第17</w:t>
      </w:r>
      <w:r>
        <w:rPr>
          <w:rFonts w:hAnsi="仿宋" w:cs="Times New Roman"/>
          <w:color w:val="000000"/>
          <w:sz w:val="28"/>
          <w:szCs w:val="28"/>
          <w:highlight w:val="none"/>
        </w:rPr>
        <w:t xml:space="preserve">.</w:t>
      </w:r>
      <w:r>
        <w:rPr>
          <w:rFonts w:hint="eastAsia" w:hAnsi="仿宋" w:cs="Times New Roman"/>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s="Times New Roman"/>
          <w:color w:val="000000"/>
          <w:sz w:val="28"/>
          <w:szCs w:val="28"/>
          <w:highlight w:val="none"/>
        </w:rPr>
      </w:r>
      <w:r/>
    </w:p>
    <w:p>
      <w:pPr>
        <w:pStyle w:val="664"/>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664"/>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highlight w:val="none"/>
        </w:rPr>
      </w:r>
      <w:r/>
    </w:p>
    <w:p>
      <w:pPr>
        <w:pStyle w:val="664"/>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664"/>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除甲方和见证方事先书面同意外，乙方不得部分转让或全部转让其应履行的合同义务。</w:t>
      </w:r>
      <w:r>
        <w:rPr>
          <w:rFonts w:hint="eastAsia" w:ascii="仿宋" w:hAnsi="仿宋" w:eastAsia="仿宋"/>
          <w:sz w:val="28"/>
          <w:highlight w:val="none"/>
        </w:rPr>
      </w:r>
      <w:r/>
    </w:p>
    <w:p>
      <w:pPr>
        <w:pStyle w:val="664"/>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651"/>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淮安市公共资源交易中心盱眙分中心</w:t>
      </w:r>
      <w:r>
        <w:rPr>
          <w:rFonts w:hint="eastAsia" w:ascii="仿宋" w:hAnsi="仿宋" w:eastAsia="仿宋"/>
          <w:sz w:val="28"/>
          <w:szCs w:val="28"/>
          <w:highlight w:val="none"/>
        </w:rPr>
        <w:t xml:space="preserve">      谈判文件、乙方提交的      响应文件、本次谈判的成交通知书和乙方的澄清等内容将作为本次采购合同文件的主要内容。乙方在合同履行过程中若发生服务内容缩减、服务不及时的现象，甲方有权对乙方处以适当的经济处罚。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664"/>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66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66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651"/>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rPr>
          <w:rFonts w:hint="eastAsia" w:ascii="仿宋" w:hAnsi="仿宋" w:eastAsia="仿宋"/>
          <w:bCs/>
          <w:sz w:val="28"/>
          <w:szCs w:val="28"/>
          <w:highlight w:val="none"/>
        </w:rPr>
      </w:r>
      <w:r/>
    </w:p>
    <w:p>
      <w:pPr>
        <w:pStyle w:val="664"/>
        <w:ind w:firstLine="2873"/>
        <w:spacing w:line="520" w:lineRule="exact"/>
        <w:rPr>
          <w:rFonts w:hint="eastAsia" w:ascii="仿宋" w:hAnsi="仿宋" w:eastAsia="仿宋"/>
          <w:b/>
          <w:bCs/>
          <w:sz w:val="36"/>
          <w:szCs w:val="36"/>
          <w:highlight w:val="none"/>
          <w:lang w:val="zh-CN"/>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664"/>
        <w:ind w:firstLine="280"/>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一、</w:t>
      </w:r>
      <w:r>
        <w:rPr>
          <w:rFonts w:hint="eastAsia" w:ascii="仿宋" w:hAnsi="仿宋" w:eastAsia="仿宋"/>
          <w:b/>
          <w:bCs w:val="0"/>
          <w:sz w:val="28"/>
          <w:szCs w:val="28"/>
          <w:highlight w:val="none"/>
        </w:rPr>
        <w:t xml:space="preserve">采购清单</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见下表</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eastAsia="zh-CN"/>
        </w:rPr>
      </w:r>
      <w:r/>
    </w:p>
    <w:tbl>
      <w:tblPr>
        <w:tblpPr w:horzAnchor="page" w:tblpXSpec="center" w:vertAnchor="text" w:tblpY="553" w:leftFromText="180" w:topFromText="0" w:rightFromText="180" w:bottomFromText="0"/>
        <w:tblW w:w="5827" w:type="pct"/>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675"/>
        <w:gridCol w:w="1101"/>
        <w:gridCol w:w="2428"/>
        <w:gridCol w:w="1453"/>
        <w:gridCol w:w="797"/>
        <w:gridCol w:w="1213"/>
        <w:gridCol w:w="1198"/>
        <w:gridCol w:w="833"/>
        <w:gridCol w:w="1455"/>
      </w:tblGrid>
      <w:tr>
        <w:trPr>
          <w:trHeight w:val="420"/>
        </w:trPr>
        <w:tc>
          <w:tcPr>
            <w:tcMar>
              <w:left w:w="15" w:type="dxa"/>
              <w:top w:w="15" w:type="dxa"/>
              <w:right w:w="15" w:type="dxa"/>
            </w:tcMar>
            <w:tcW w:w="67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序号</w:t>
            </w:r>
            <w:r>
              <w:rPr>
                <w:rFonts w:hint="eastAsia" w:ascii="仿宋" w:hAnsi="仿宋" w:eastAsia="仿宋" w:cs="仿宋"/>
                <w:sz w:val="24"/>
                <w:szCs w:val="24"/>
                <w:highlight w:val="none"/>
              </w:rPr>
            </w:r>
            <w:r/>
          </w:p>
        </w:tc>
        <w:tc>
          <w:tcPr>
            <w:tcMar>
              <w:left w:w="15" w:type="dxa"/>
              <w:top w:w="15" w:type="dxa"/>
              <w:right w:w="15" w:type="dxa"/>
            </w:tcMar>
            <w:tcW w:w="1101"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产品名称</w:t>
            </w:r>
            <w:r>
              <w:rPr>
                <w:rFonts w:hint="eastAsia" w:ascii="仿宋" w:hAnsi="仿宋" w:eastAsia="仿宋" w:cs="仿宋"/>
                <w:sz w:val="24"/>
                <w:szCs w:val="24"/>
                <w:highlight w:val="none"/>
              </w:rPr>
            </w:r>
            <w:r/>
          </w:p>
        </w:tc>
        <w:tc>
          <w:tcPr>
            <w:tcMar>
              <w:left w:w="15" w:type="dxa"/>
              <w:top w:w="15" w:type="dxa"/>
              <w:right w:w="15" w:type="dxa"/>
            </w:tcMar>
            <w:tcW w:w="2428"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技术要求</w:t>
            </w:r>
            <w:r>
              <w:rPr>
                <w:rFonts w:hint="eastAsia" w:ascii="仿宋" w:hAnsi="仿宋" w:eastAsia="仿宋" w:cs="仿宋"/>
                <w:sz w:val="24"/>
                <w:szCs w:val="24"/>
                <w:highlight w:val="none"/>
              </w:rPr>
            </w:r>
            <w:r/>
          </w:p>
        </w:tc>
        <w:tc>
          <w:tcPr>
            <w:tcMar>
              <w:left w:w="15" w:type="dxa"/>
              <w:top w:w="15" w:type="dxa"/>
              <w:right w:w="15" w:type="dxa"/>
            </w:tcMar>
            <w:tcW w:w="1453"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数量</w:t>
            </w:r>
            <w:r>
              <w:rPr>
                <w:rFonts w:hint="eastAsia" w:ascii="仿宋" w:hAnsi="仿宋" w:eastAsia="仿宋" w:cs="仿宋"/>
                <w:sz w:val="24"/>
                <w:szCs w:val="24"/>
                <w:highlight w:val="none"/>
              </w:rPr>
            </w:r>
            <w:r/>
          </w:p>
        </w:tc>
        <w:tc>
          <w:tcPr>
            <w:tcMar>
              <w:left w:w="15" w:type="dxa"/>
              <w:top w:w="15" w:type="dxa"/>
              <w:right w:w="15" w:type="dxa"/>
            </w:tcMar>
            <w:tcW w:w="797"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单位</w:t>
            </w:r>
            <w:r>
              <w:rPr>
                <w:rFonts w:hint="eastAsia" w:ascii="仿宋" w:hAnsi="仿宋" w:eastAsia="仿宋" w:cs="仿宋"/>
                <w:sz w:val="24"/>
                <w:szCs w:val="24"/>
                <w:highlight w:val="none"/>
              </w:rPr>
            </w:r>
            <w:r/>
          </w:p>
        </w:tc>
        <w:tc>
          <w:tcPr>
            <w:tcMar>
              <w:left w:w="15" w:type="dxa"/>
              <w:top w:w="15" w:type="dxa"/>
              <w:right w:w="15" w:type="dxa"/>
            </w:tcMar>
            <w:tcW w:w="1213"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限价</w:t>
            </w:r>
            <w:r>
              <w:rPr>
                <w:rFonts w:hint="eastAsia" w:ascii="仿宋" w:hAnsi="仿宋" w:eastAsia="仿宋" w:cs="仿宋"/>
                <w:sz w:val="24"/>
                <w:szCs w:val="24"/>
                <w:highlight w:val="none"/>
              </w:rPr>
            </w:r>
            <w:r/>
          </w:p>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（元）</w:t>
            </w:r>
            <w:r>
              <w:rPr>
                <w:rFonts w:hint="eastAsia" w:ascii="仿宋" w:hAnsi="仿宋" w:eastAsia="仿宋" w:cs="仿宋"/>
                <w:sz w:val="24"/>
                <w:szCs w:val="24"/>
                <w:highlight w:val="none"/>
              </w:rPr>
            </w:r>
            <w:r/>
          </w:p>
        </w:tc>
        <w:tc>
          <w:tcPr>
            <w:tcMar>
              <w:left w:w="15" w:type="dxa"/>
              <w:top w:w="15" w:type="dxa"/>
              <w:right w:w="15" w:type="dxa"/>
            </w:tcMar>
            <w:tcW w:w="1198"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投标单价（元）</w:t>
            </w:r>
            <w:r>
              <w:rPr>
                <w:rFonts w:hint="eastAsia" w:ascii="仿宋" w:hAnsi="仿宋" w:eastAsia="仿宋" w:cs="仿宋"/>
                <w:sz w:val="24"/>
                <w:szCs w:val="24"/>
                <w:highlight w:val="none"/>
              </w:rPr>
            </w:r>
            <w:r/>
          </w:p>
        </w:tc>
        <w:tc>
          <w:tcPr>
            <w:tcMar>
              <w:left w:w="15" w:type="dxa"/>
              <w:top w:w="15" w:type="dxa"/>
              <w:right w:w="15" w:type="dxa"/>
            </w:tcMar>
            <w:tcW w:w="833"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合计</w:t>
            </w:r>
            <w:r>
              <w:rPr>
                <w:rFonts w:hint="eastAsia" w:ascii="仿宋" w:hAnsi="仿宋" w:eastAsia="仿宋" w:cs="仿宋"/>
                <w:sz w:val="24"/>
                <w:szCs w:val="24"/>
                <w:highlight w:val="none"/>
              </w:rPr>
            </w:r>
            <w:r/>
          </w:p>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rPr>
              <w:t xml:space="preserve">（元）</w:t>
            </w:r>
            <w:r>
              <w:rPr>
                <w:rFonts w:hint="eastAsia" w:ascii="仿宋" w:hAnsi="仿宋" w:eastAsia="仿宋" w:cs="仿宋"/>
                <w:sz w:val="24"/>
                <w:szCs w:val="24"/>
                <w:highlight w:val="none"/>
              </w:rPr>
            </w:r>
            <w:r/>
          </w:p>
        </w:tc>
        <w:tc>
          <w:tcPr>
            <w:tcMar>
              <w:left w:w="15" w:type="dxa"/>
              <w:top w:w="15" w:type="dxa"/>
              <w:right w:w="15" w:type="dxa"/>
            </w:tcMar>
            <w:tcW w:w="1455" w:type="dxa"/>
            <w:vAlign w:val="center"/>
            <w:textDirection w:val="lrTb"/>
            <w:noWrap/>
          </w:tcPr>
          <w:p>
            <w:pPr>
              <w:pStyle w:val="651"/>
              <w:jc w:val="center"/>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t xml:space="preserve">备注</w:t>
            </w:r>
            <w:r>
              <w:rPr>
                <w:rFonts w:hint="eastAsia" w:ascii="仿宋" w:hAnsi="仿宋" w:eastAsia="仿宋" w:cs="仿宋"/>
                <w:sz w:val="24"/>
                <w:szCs w:val="24"/>
                <w:highlight w:val="none"/>
                <w:lang w:val="en-US" w:eastAsia="zh-CN"/>
              </w:rPr>
            </w:r>
            <w:r/>
          </w:p>
        </w:tc>
      </w:tr>
      <w:tr>
        <w:trPr>
          <w:trHeight w:val="420"/>
        </w:trPr>
        <w:tc>
          <w:tcPr>
            <w:tcMar>
              <w:left w:w="15" w:type="dxa"/>
              <w:top w:w="15" w:type="dxa"/>
              <w:right w:w="15" w:type="dxa"/>
            </w:tcMar>
            <w:tcW w:w="67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r>
            <w:r/>
          </w:p>
        </w:tc>
        <w:tc>
          <w:tcPr>
            <w:tcMar>
              <w:left w:w="15" w:type="dxa"/>
              <w:top w:w="15" w:type="dxa"/>
              <w:right w:w="15" w:type="dxa"/>
            </w:tcMar>
            <w:tcW w:w="1101"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《盱眙日报》印刷</w:t>
            </w:r>
            <w:r>
              <w:rPr>
                <w:rFonts w:hint="eastAsia" w:ascii="仿宋" w:hAnsi="仿宋" w:eastAsia="仿宋" w:cs="仿宋"/>
                <w:sz w:val="24"/>
                <w:szCs w:val="24"/>
                <w:highlight w:val="none"/>
              </w:rPr>
            </w:r>
            <w:r/>
          </w:p>
        </w:tc>
        <w:tc>
          <w:tcPr>
            <w:tcMar>
              <w:left w:w="15" w:type="dxa"/>
              <w:top w:w="15" w:type="dxa"/>
              <w:right w:w="15" w:type="dxa"/>
            </w:tcMar>
            <w:tcW w:w="2428"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1.《盱眙日报》对开4版，计划每周3期，</w:t>
            </w:r>
            <w:r>
              <w:rPr>
                <w:rFonts w:hint="eastAsia" w:ascii="仿宋" w:hAnsi="仿宋" w:eastAsia="仿宋" w:cs="仿宋"/>
                <w:color w:val="0000ff"/>
                <w:sz w:val="24"/>
                <w:szCs w:val="24"/>
                <w:highlight w:val="none"/>
                <w:lang w:val="en-US" w:eastAsia="zh-CN"/>
              </w:rPr>
              <w:t xml:space="preserve">每期5000份</w:t>
            </w:r>
            <w:r>
              <w:rPr>
                <w:rFonts w:hint="eastAsia" w:ascii="仿宋" w:hAnsi="仿宋" w:eastAsia="仿宋" w:cs="仿宋"/>
                <w:sz w:val="24"/>
                <w:szCs w:val="24"/>
                <w:highlight w:val="none"/>
                <w:lang w:val="en-US" w:eastAsia="zh-CN"/>
              </w:rPr>
              <w:t xml:space="preserve">，产品尺寸为770mm*540mm；双面彩报，CTP直接制版，正品新闻纸印刷。</w:t>
            </w:r>
            <w:r>
              <w:rPr>
                <w:rFonts w:hint="eastAsia" w:ascii="仿宋" w:hAnsi="仿宋" w:eastAsia="仿宋" w:cs="仿宋"/>
                <w:sz w:val="24"/>
                <w:szCs w:val="24"/>
                <w:highlight w:val="none"/>
              </w:rPr>
            </w:r>
            <w:r/>
          </w:p>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2.可按需要加刊加印，印刷费按实际数量结算。</w:t>
            </w:r>
            <w:r>
              <w:rPr>
                <w:rFonts w:hint="eastAsia" w:ascii="仿宋" w:hAnsi="仿宋" w:eastAsia="仿宋" w:cs="仿宋"/>
                <w:sz w:val="24"/>
                <w:szCs w:val="24"/>
                <w:highlight w:val="none"/>
              </w:rPr>
            </w:r>
            <w:r/>
          </w:p>
        </w:tc>
        <w:tc>
          <w:tcPr>
            <w:tcMar>
              <w:left w:w="15" w:type="dxa"/>
              <w:top w:w="15" w:type="dxa"/>
              <w:right w:w="15" w:type="dxa"/>
            </w:tcMar>
            <w:tcW w:w="1453"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360</w:t>
            </w:r>
            <w:r>
              <w:rPr>
                <w:rFonts w:hint="eastAsia" w:ascii="仿宋" w:hAnsi="仿宋" w:eastAsia="仿宋" w:cs="仿宋"/>
                <w:sz w:val="24"/>
                <w:szCs w:val="24"/>
                <w:highlight w:val="none"/>
              </w:rPr>
            </w:r>
            <w:r/>
          </w:p>
        </w:tc>
        <w:tc>
          <w:tcPr>
            <w:tcMar>
              <w:left w:w="15" w:type="dxa"/>
              <w:top w:w="15" w:type="dxa"/>
              <w:right w:w="15" w:type="dxa"/>
            </w:tcMar>
            <w:tcW w:w="797"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期</w:t>
            </w:r>
            <w:r>
              <w:rPr>
                <w:rFonts w:hint="eastAsia" w:ascii="仿宋" w:hAnsi="仿宋" w:eastAsia="仿宋" w:cs="仿宋"/>
                <w:sz w:val="24"/>
                <w:szCs w:val="24"/>
                <w:highlight w:val="none"/>
              </w:rPr>
            </w:r>
            <w:r/>
          </w:p>
        </w:tc>
        <w:tc>
          <w:tcPr>
            <w:tcMar>
              <w:left w:w="15" w:type="dxa"/>
              <w:top w:w="15" w:type="dxa"/>
              <w:right w:w="15" w:type="dxa"/>
            </w:tcMar>
            <w:tcW w:w="1213" w:type="dxa"/>
            <w:vAlign w:val="center"/>
            <w:vMerge w:val="restart"/>
            <w:textDirection w:val="lrTb"/>
            <w:noWrap/>
          </w:tcPr>
          <w:p>
            <w:pPr>
              <w:pStyle w:val="651"/>
              <w:jc w:val="center"/>
              <w:rPr>
                <w:rFonts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t xml:space="preserve">756000</w:t>
            </w:r>
            <w:r>
              <w:rPr>
                <w:rFonts w:ascii="仿宋" w:hAnsi="仿宋" w:eastAsia="仿宋" w:cs="仿宋"/>
                <w:sz w:val="24"/>
                <w:szCs w:val="24"/>
                <w:highlight w:val="none"/>
                <w:lang w:val="en-US" w:eastAsia="zh-CN"/>
              </w:rPr>
            </w:r>
            <w:r/>
          </w:p>
        </w:tc>
        <w:tc>
          <w:tcPr>
            <w:tcMar>
              <w:left w:w="15" w:type="dxa"/>
              <w:top w:w="15" w:type="dxa"/>
              <w:right w:w="15" w:type="dxa"/>
            </w:tcMar>
            <w:tcW w:w="1198"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833"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1455" w:type="dxa"/>
            <w:vAlign w:val="center"/>
            <w:vMerge w:val="restart"/>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t xml:space="preserve">应急承诺：</w:t>
            </w:r>
            <w:r>
              <w:rPr>
                <w:rFonts w:hint="eastAsia" w:ascii="仿宋" w:hAnsi="仿宋" w:eastAsia="仿宋" w:cs="仿宋"/>
                <w:sz w:val="24"/>
                <w:szCs w:val="24"/>
                <w:highlight w:val="none"/>
                <w:lang w:val="en-US" w:eastAsia="zh-CN"/>
              </w:rPr>
            </w:r>
            <w:r/>
          </w:p>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t xml:space="preserve">如我方有幸中标，将做到认真排印，接期交付报纸印刷成品。如出现印刷设备故障等突发异常情况时，可启用备机或备印点对接项目印刷，确保及时交付，否则我方愿意承担经济损失等相关责任。</w:t>
            </w:r>
            <w:r>
              <w:rPr>
                <w:rFonts w:hint="eastAsia" w:ascii="仿宋" w:hAnsi="仿宋" w:eastAsia="仿宋" w:cs="仿宋"/>
                <w:sz w:val="24"/>
                <w:szCs w:val="24"/>
                <w:highlight w:val="none"/>
                <w:lang w:val="en-US" w:eastAsia="zh-CN"/>
              </w:rPr>
            </w:r>
            <w:r/>
          </w:p>
        </w:tc>
      </w:tr>
      <w:tr>
        <w:trPr>
          <w:trHeight w:val="420"/>
        </w:trPr>
        <w:tc>
          <w:tcPr>
            <w:tcMar>
              <w:left w:w="15" w:type="dxa"/>
              <w:top w:w="15" w:type="dxa"/>
              <w:right w:w="15" w:type="dxa"/>
            </w:tcMar>
            <w:tcW w:w="67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r>
            <w:r/>
          </w:p>
        </w:tc>
        <w:tc>
          <w:tcPr>
            <w:tcMar>
              <w:left w:w="15" w:type="dxa"/>
              <w:top w:w="15" w:type="dxa"/>
              <w:right w:w="15" w:type="dxa"/>
            </w:tcMar>
            <w:tcW w:w="1101"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合订本印刷及装订</w:t>
            </w:r>
            <w:r>
              <w:rPr>
                <w:rFonts w:hint="eastAsia" w:ascii="仿宋" w:hAnsi="仿宋" w:eastAsia="仿宋" w:cs="仿宋"/>
                <w:sz w:val="24"/>
                <w:szCs w:val="24"/>
                <w:highlight w:val="none"/>
              </w:rPr>
            </w:r>
            <w:r/>
          </w:p>
        </w:tc>
        <w:tc>
          <w:tcPr>
            <w:tcMar>
              <w:left w:w="15" w:type="dxa"/>
              <w:top w:w="15" w:type="dxa"/>
              <w:right w:w="15" w:type="dxa"/>
            </w:tcMar>
            <w:tcW w:w="2428"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对承印报刊按要求汇总加封面（底）装订成合订本，印刷费按实际数量据实计算。</w:t>
            </w:r>
            <w:r>
              <w:rPr>
                <w:rFonts w:hint="eastAsia" w:ascii="仿宋" w:hAnsi="仿宋" w:eastAsia="仿宋" w:cs="仿宋"/>
                <w:sz w:val="24"/>
                <w:szCs w:val="24"/>
                <w:highlight w:val="none"/>
              </w:rPr>
            </w:r>
            <w:r/>
          </w:p>
        </w:tc>
        <w:tc>
          <w:tcPr>
            <w:tcMar>
              <w:left w:w="15" w:type="dxa"/>
              <w:top w:w="15" w:type="dxa"/>
              <w:right w:w="15" w:type="dxa"/>
            </w:tcMar>
            <w:tcW w:w="1453" w:type="dxa"/>
            <w:vAlign w:val="center"/>
            <w:textDirection w:val="lrTb"/>
            <w:noWrap/>
          </w:tcPr>
          <w:p>
            <w:pPr>
              <w:pStyle w:val="651"/>
              <w:jc w:val="center"/>
              <w:rPr>
                <w:rFonts w:ascii="仿宋" w:hAnsi="仿宋" w:eastAsia="仿宋" w:cs="仿宋"/>
                <w:sz w:val="24"/>
                <w:szCs w:val="24"/>
                <w:highlight w:val="none"/>
                <w:lang w:val="en-US"/>
              </w:rPr>
              <w:framePr w:vAnchor="text" w:hAnchor="page" w:xAlign="center" w:y="553"/>
            </w:pPr>
            <w:r>
              <w:rPr>
                <w:rFonts w:hint="eastAsia" w:ascii="仿宋" w:hAnsi="仿宋" w:eastAsia="仿宋" w:cs="仿宋"/>
                <w:sz w:val="24"/>
                <w:szCs w:val="24"/>
                <w:highlight w:val="none"/>
                <w:lang w:val="en-US" w:eastAsia="zh-CN"/>
              </w:rPr>
              <w:t xml:space="preserve">400</w:t>
            </w:r>
            <w:r>
              <w:rPr>
                <w:rFonts w:ascii="仿宋" w:hAnsi="仿宋" w:eastAsia="仿宋" w:cs="仿宋"/>
                <w:sz w:val="24"/>
                <w:szCs w:val="24"/>
                <w:highlight w:val="none"/>
                <w:lang w:val="en-US"/>
              </w:rPr>
            </w:r>
            <w:r/>
          </w:p>
        </w:tc>
        <w:tc>
          <w:tcPr>
            <w:tcMar>
              <w:left w:w="15" w:type="dxa"/>
              <w:top w:w="15" w:type="dxa"/>
              <w:right w:w="15" w:type="dxa"/>
            </w:tcMar>
            <w:tcW w:w="797"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本</w:t>
            </w:r>
            <w:r>
              <w:rPr>
                <w:rFonts w:hint="eastAsia" w:ascii="仿宋" w:hAnsi="仿宋" w:eastAsia="仿宋" w:cs="仿宋"/>
                <w:sz w:val="24"/>
                <w:szCs w:val="24"/>
                <w:highlight w:val="none"/>
              </w:rPr>
            </w:r>
            <w:r/>
          </w:p>
        </w:tc>
        <w:tc>
          <w:tcPr>
            <w:tcMar>
              <w:left w:w="15" w:type="dxa"/>
              <w:top w:w="15" w:type="dxa"/>
              <w:right w:w="15" w:type="dxa"/>
            </w:tcMar>
            <w:tcW w:w="1213" w:type="dxa"/>
            <w:vAlign w:val="center"/>
            <w:vMerge w:val="continue"/>
            <w:textDirection w:val="lrTb"/>
            <w:noWrap/>
          </w:tcPr>
          <w:p>
            <w:pPr>
              <w:pStyle w:val="651"/>
              <w:jc w:val="center"/>
              <w:rPr>
                <w:rFonts w:ascii="仿宋" w:hAnsi="仿宋" w:eastAsia="仿宋" w:cs="仿宋"/>
                <w:sz w:val="24"/>
                <w:szCs w:val="24"/>
                <w:highlight w:val="none"/>
                <w:lang w:val="en-US" w:eastAsia="zh-CN"/>
              </w:rPr>
              <w:framePr w:vAnchor="text" w:hAnchor="page" w:xAlign="center" w:y="553"/>
            </w:pPr>
            <w:r>
              <w:rPr>
                <w:rFonts w:ascii="仿宋" w:hAnsi="仿宋" w:eastAsia="仿宋" w:cs="仿宋"/>
                <w:sz w:val="24"/>
                <w:szCs w:val="24"/>
                <w:highlight w:val="none"/>
                <w:lang w:val="en-US" w:eastAsia="zh-CN"/>
              </w:rPr>
            </w:r>
            <w:r/>
          </w:p>
        </w:tc>
        <w:tc>
          <w:tcPr>
            <w:tcMar>
              <w:left w:w="15" w:type="dxa"/>
              <w:top w:w="15" w:type="dxa"/>
              <w:right w:w="15" w:type="dxa"/>
            </w:tcMar>
            <w:tcW w:w="1198"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833"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1455" w:type="dxa"/>
            <w:vAlign w:val="center"/>
            <w:vMerge w:val="continue"/>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r>
            <w:r/>
          </w:p>
        </w:tc>
      </w:tr>
      <w:tr>
        <w:trPr>
          <w:trHeight w:val="1141"/>
        </w:trPr>
        <w:tc>
          <w:tcPr>
            <w:tcMar>
              <w:left w:w="15" w:type="dxa"/>
              <w:top w:w="15" w:type="dxa"/>
              <w:right w:w="15" w:type="dxa"/>
            </w:tcMar>
            <w:tcW w:w="67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r>
            <w:r/>
          </w:p>
        </w:tc>
        <w:tc>
          <w:tcPr>
            <w:tcMar>
              <w:left w:w="15" w:type="dxa"/>
              <w:top w:w="15" w:type="dxa"/>
              <w:right w:w="15" w:type="dxa"/>
            </w:tcMar>
            <w:tcW w:w="1101" w:type="dxa"/>
            <w:vAlign w:val="center"/>
            <w:textDirection w:val="lrTb"/>
            <w:noWrap/>
          </w:tcPr>
          <w:p>
            <w:pPr>
              <w:pStyle w:val="651"/>
              <w:rPr>
                <w:rFonts w:ascii="仿宋" w:hAnsi="仿宋" w:eastAsia="仿宋" w:cs="仿宋"/>
                <w:sz w:val="24"/>
                <w:szCs w:val="24"/>
                <w:highlight w:val="none"/>
                <w:lang w:val="en-US"/>
              </w:rPr>
              <w:framePr w:vAnchor="text" w:hAnchor="page" w:xAlign="center" w:y="553"/>
            </w:pPr>
            <w:r>
              <w:rPr>
                <w:rFonts w:hint="eastAsia" w:ascii="仿宋" w:hAnsi="仿宋" w:eastAsia="仿宋" w:cs="仿宋"/>
                <w:sz w:val="24"/>
                <w:szCs w:val="24"/>
                <w:highlight w:val="none"/>
                <w:lang w:val="en-US" w:eastAsia="zh-CN"/>
              </w:rPr>
              <w:t xml:space="preserve">采访本</w:t>
            </w:r>
            <w:r>
              <w:rPr>
                <w:rFonts w:ascii="仿宋" w:hAnsi="仿宋" w:eastAsia="仿宋" w:cs="仿宋"/>
                <w:sz w:val="24"/>
                <w:szCs w:val="24"/>
                <w:highlight w:val="none"/>
                <w:lang w:val="en-US"/>
              </w:rPr>
            </w:r>
            <w:r/>
          </w:p>
        </w:tc>
        <w:tc>
          <w:tcPr>
            <w:tcMar>
              <w:left w:w="15" w:type="dxa"/>
              <w:top w:w="15" w:type="dxa"/>
              <w:right w:w="15" w:type="dxa"/>
            </w:tcMar>
            <w:tcW w:w="2428" w:type="dxa"/>
            <w:vAlign w:val="center"/>
            <w:textDirection w:val="lrTb"/>
            <w:noWrap/>
          </w:tcPr>
          <w:p>
            <w:pPr>
              <w:pStyle w:val="651"/>
              <w:jc w:val="both"/>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记录本200页，软皮封面，B5版式175*250mm，线装式装订，内芯幅面规格18K，内芯格线行距12mm，扉页个性化图文需与采购方确认，满足招标人要求。</w:t>
            </w:r>
            <w:r>
              <w:rPr>
                <w:rFonts w:hint="eastAsia" w:ascii="仿宋" w:hAnsi="仿宋" w:eastAsia="仿宋" w:cs="仿宋"/>
                <w:sz w:val="24"/>
                <w:szCs w:val="24"/>
                <w:highlight w:val="none"/>
              </w:rPr>
            </w:r>
            <w:r/>
          </w:p>
        </w:tc>
        <w:tc>
          <w:tcPr>
            <w:tcMar>
              <w:left w:w="15" w:type="dxa"/>
              <w:top w:w="15" w:type="dxa"/>
              <w:right w:w="15" w:type="dxa"/>
            </w:tcMar>
            <w:tcW w:w="1453" w:type="dxa"/>
            <w:vAlign w:val="center"/>
            <w:textDirection w:val="lrTb"/>
            <w:noWrap/>
          </w:tcPr>
          <w:p>
            <w:pPr>
              <w:pStyle w:val="651"/>
              <w:jc w:val="center"/>
              <w:rPr>
                <w:rFonts w:ascii="仿宋" w:hAnsi="仿宋" w:eastAsia="仿宋" w:cs="仿宋"/>
                <w:sz w:val="24"/>
                <w:szCs w:val="24"/>
                <w:highlight w:val="none"/>
                <w:lang w:val="en-US"/>
              </w:rPr>
              <w:framePr w:vAnchor="text" w:hAnchor="page" w:xAlign="center" w:y="553"/>
            </w:pPr>
            <w:r>
              <w:rPr>
                <w:rFonts w:hint="eastAsia" w:ascii="仿宋" w:hAnsi="仿宋" w:eastAsia="仿宋" w:cs="仿宋"/>
                <w:sz w:val="24"/>
                <w:szCs w:val="24"/>
                <w:highlight w:val="none"/>
                <w:lang w:val="en-US" w:eastAsia="zh-CN"/>
              </w:rPr>
              <w:t xml:space="preserve">400</w:t>
            </w:r>
            <w:r>
              <w:rPr>
                <w:rFonts w:ascii="仿宋" w:hAnsi="仿宋" w:eastAsia="仿宋" w:cs="仿宋"/>
                <w:sz w:val="24"/>
                <w:szCs w:val="24"/>
                <w:highlight w:val="none"/>
                <w:lang w:val="en-US"/>
              </w:rPr>
            </w:r>
            <w:r/>
          </w:p>
        </w:tc>
        <w:tc>
          <w:tcPr>
            <w:tcMar>
              <w:left w:w="15" w:type="dxa"/>
              <w:top w:w="15" w:type="dxa"/>
              <w:right w:w="15" w:type="dxa"/>
            </w:tcMar>
            <w:tcW w:w="797"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本</w:t>
            </w:r>
            <w:r>
              <w:rPr>
                <w:rFonts w:hint="eastAsia" w:ascii="仿宋" w:hAnsi="仿宋" w:eastAsia="仿宋" w:cs="仿宋"/>
                <w:sz w:val="24"/>
                <w:szCs w:val="24"/>
                <w:highlight w:val="none"/>
              </w:rPr>
            </w:r>
            <w:r/>
          </w:p>
        </w:tc>
        <w:tc>
          <w:tcPr>
            <w:tcMar>
              <w:left w:w="15" w:type="dxa"/>
              <w:top w:w="15" w:type="dxa"/>
              <w:right w:w="15" w:type="dxa"/>
            </w:tcMar>
            <w:tcW w:w="1213" w:type="dxa"/>
            <w:vAlign w:val="center"/>
            <w:vMerge w:val="continue"/>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rPr>
            </w:r>
            <w:r/>
          </w:p>
        </w:tc>
        <w:tc>
          <w:tcPr>
            <w:tcMar>
              <w:left w:w="15" w:type="dxa"/>
              <w:top w:w="15" w:type="dxa"/>
              <w:right w:w="15" w:type="dxa"/>
            </w:tcMar>
            <w:tcW w:w="1198"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833"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1455" w:type="dxa"/>
            <w:vAlign w:val="center"/>
            <w:vMerge w:val="continue"/>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r>
            <w:r/>
          </w:p>
        </w:tc>
      </w:tr>
      <w:tr>
        <w:trPr>
          <w:trHeight w:val="420"/>
        </w:trPr>
        <w:tc>
          <w:tcPr>
            <w:tcMar>
              <w:left w:w="15" w:type="dxa"/>
              <w:top w:w="15" w:type="dxa"/>
              <w:right w:w="15" w:type="dxa"/>
            </w:tcMar>
            <w:tcW w:w="67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r>
            <w:r/>
          </w:p>
        </w:tc>
        <w:tc>
          <w:tcPr>
            <w:tcMar>
              <w:left w:w="15" w:type="dxa"/>
              <w:top w:w="15" w:type="dxa"/>
              <w:right w:w="15" w:type="dxa"/>
            </w:tcMar>
            <w:tcW w:w="1101"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运输投递费</w:t>
            </w:r>
            <w:r>
              <w:rPr>
                <w:rFonts w:hint="eastAsia" w:ascii="仿宋" w:hAnsi="仿宋" w:eastAsia="仿宋" w:cs="仿宋"/>
                <w:sz w:val="24"/>
                <w:szCs w:val="24"/>
                <w:highlight w:val="none"/>
              </w:rPr>
            </w:r>
            <w:r/>
          </w:p>
        </w:tc>
        <w:tc>
          <w:tcPr>
            <w:tcMar>
              <w:left w:w="15" w:type="dxa"/>
              <w:top w:w="15" w:type="dxa"/>
              <w:right w:w="15" w:type="dxa"/>
            </w:tcMar>
            <w:tcW w:w="2428" w:type="dxa"/>
            <w:vAlign w:val="center"/>
            <w:textDirection w:val="lrTb"/>
            <w:noWrap/>
          </w:tcPr>
          <w:p>
            <w:pPr>
              <w:pStyle w:val="651"/>
              <w:jc w:val="both"/>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符合报刊用品运输投递时效特性，报刊成品运输投递分送由第三方邮政运输班组承接。报刊当日凌晨及时装车运输，当日中午完成分送投递；满足招标人要求。</w:t>
            </w:r>
            <w:r>
              <w:rPr>
                <w:rFonts w:hint="eastAsia" w:ascii="仿宋" w:hAnsi="仿宋" w:eastAsia="仿宋" w:cs="仿宋"/>
                <w:sz w:val="24"/>
                <w:szCs w:val="24"/>
                <w:highlight w:val="none"/>
              </w:rPr>
            </w:r>
            <w:r/>
          </w:p>
        </w:tc>
        <w:tc>
          <w:tcPr>
            <w:tcMar>
              <w:left w:w="15" w:type="dxa"/>
              <w:top w:w="15" w:type="dxa"/>
              <w:right w:w="15" w:type="dxa"/>
            </w:tcMar>
            <w:tcW w:w="1453"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r>
            <w:r/>
          </w:p>
        </w:tc>
        <w:tc>
          <w:tcPr>
            <w:tcMar>
              <w:left w:w="15" w:type="dxa"/>
              <w:top w:w="15" w:type="dxa"/>
              <w:right w:w="15" w:type="dxa"/>
            </w:tcMar>
            <w:tcW w:w="797"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年</w:t>
            </w:r>
            <w:r>
              <w:rPr>
                <w:rFonts w:hint="eastAsia" w:ascii="仿宋" w:hAnsi="仿宋" w:eastAsia="仿宋" w:cs="仿宋"/>
                <w:sz w:val="24"/>
                <w:szCs w:val="24"/>
                <w:highlight w:val="none"/>
              </w:rPr>
            </w:r>
            <w:r/>
          </w:p>
        </w:tc>
        <w:tc>
          <w:tcPr>
            <w:tcMar>
              <w:left w:w="15" w:type="dxa"/>
              <w:top w:w="15" w:type="dxa"/>
              <w:right w:w="15" w:type="dxa"/>
            </w:tcMar>
            <w:tcW w:w="1213"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103000</w:t>
            </w:r>
            <w:r>
              <w:rPr>
                <w:rFonts w:hint="eastAsia" w:ascii="仿宋" w:hAnsi="仿宋" w:eastAsia="仿宋" w:cs="仿宋"/>
                <w:sz w:val="24"/>
                <w:szCs w:val="24"/>
                <w:highlight w:val="none"/>
              </w:rPr>
            </w:r>
            <w:r/>
          </w:p>
        </w:tc>
        <w:tc>
          <w:tcPr>
            <w:tcMar>
              <w:left w:w="15" w:type="dxa"/>
              <w:top w:w="15" w:type="dxa"/>
              <w:right w:w="15" w:type="dxa"/>
            </w:tcMar>
            <w:tcW w:w="1198" w:type="dxa"/>
            <w:vAlign w:val="center"/>
            <w:textDirection w:val="lrTb"/>
            <w:noWrap/>
          </w:tcPr>
          <w:p>
            <w:pPr>
              <w:pStyle w:val="651"/>
              <w:rPr>
                <w:rFonts w:ascii="仿宋" w:hAnsi="仿宋" w:eastAsia="仿宋" w:cs="仿宋"/>
                <w:sz w:val="24"/>
                <w:szCs w:val="24"/>
                <w:highlight w:val="none"/>
                <w:lang w:val="en-US"/>
              </w:rPr>
              <w:framePr w:vAnchor="text" w:hAnchor="page" w:xAlign="center" w:y="553"/>
            </w:pPr>
            <w:r>
              <w:rPr>
                <w:rFonts w:hint="eastAsia" w:ascii="仿宋" w:hAnsi="仿宋" w:eastAsia="仿宋" w:cs="仿宋"/>
                <w:sz w:val="24"/>
                <w:szCs w:val="24"/>
                <w:highlight w:val="none"/>
                <w:lang w:val="en-US" w:eastAsia="zh-CN"/>
              </w:rPr>
              <w:t xml:space="preserve"> </w:t>
            </w:r>
            <w:r>
              <w:rPr>
                <w:rFonts w:ascii="仿宋" w:hAnsi="仿宋" w:eastAsia="仿宋" w:cs="仿宋"/>
                <w:sz w:val="24"/>
                <w:szCs w:val="24"/>
                <w:highlight w:val="none"/>
                <w:lang w:val="en-US"/>
              </w:rPr>
            </w:r>
            <w:r/>
          </w:p>
        </w:tc>
        <w:tc>
          <w:tcPr>
            <w:tcMar>
              <w:left w:w="15" w:type="dxa"/>
              <w:top w:w="15" w:type="dxa"/>
              <w:right w:w="15" w:type="dxa"/>
            </w:tcMar>
            <w:tcW w:w="833" w:type="dxa"/>
            <w:vAlign w:val="center"/>
            <w:textDirection w:val="lrTb"/>
            <w:noWrap/>
          </w:tcPr>
          <w:p>
            <w:pPr>
              <w:pStyle w:val="651"/>
              <w:rPr>
                <w:rFonts w:ascii="仿宋" w:hAnsi="仿宋" w:eastAsia="仿宋" w:cs="仿宋"/>
                <w:sz w:val="24"/>
                <w:szCs w:val="24"/>
                <w:highlight w:val="none"/>
                <w:lang w:val="en-US"/>
              </w:rPr>
              <w:framePr w:vAnchor="text" w:hAnchor="page" w:xAlign="center" w:y="553"/>
            </w:pPr>
            <w:r>
              <w:rPr>
                <w:rFonts w:ascii="仿宋" w:hAnsi="仿宋" w:eastAsia="仿宋" w:cs="仿宋"/>
                <w:sz w:val="24"/>
                <w:szCs w:val="24"/>
                <w:highlight w:val="none"/>
                <w:lang w:val="en-US"/>
              </w:rPr>
            </w:r>
            <w:r/>
          </w:p>
        </w:tc>
        <w:tc>
          <w:tcPr>
            <w:tcMar>
              <w:left w:w="15" w:type="dxa"/>
              <w:top w:w="15" w:type="dxa"/>
              <w:right w:w="15" w:type="dxa"/>
            </w:tcMar>
            <w:tcW w:w="1455" w:type="dxa"/>
            <w:vAlign w:val="center"/>
            <w:vMerge w:val="continue"/>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r>
            <w:r/>
          </w:p>
        </w:tc>
      </w:tr>
      <w:tr>
        <w:trPr>
          <w:trHeight w:val="420"/>
        </w:trPr>
        <w:tc>
          <w:tcPr>
            <w:tcMar>
              <w:left w:w="15" w:type="dxa"/>
              <w:top w:w="15" w:type="dxa"/>
              <w:right w:w="15" w:type="dxa"/>
            </w:tcMar>
            <w:tcW w:w="67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r>
            <w:r/>
          </w:p>
        </w:tc>
        <w:tc>
          <w:tcPr>
            <w:tcMar>
              <w:left w:w="15" w:type="dxa"/>
              <w:top w:w="15" w:type="dxa"/>
              <w:right w:w="15" w:type="dxa"/>
            </w:tcMar>
            <w:tcW w:w="1101"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总计（元）</w:t>
            </w:r>
            <w:r>
              <w:rPr>
                <w:rFonts w:hint="eastAsia" w:ascii="仿宋" w:hAnsi="仿宋" w:eastAsia="仿宋" w:cs="仿宋"/>
                <w:sz w:val="24"/>
                <w:szCs w:val="24"/>
                <w:highlight w:val="none"/>
              </w:rPr>
            </w:r>
            <w:r/>
          </w:p>
        </w:tc>
        <w:tc>
          <w:tcPr>
            <w:gridSpan w:val="4"/>
            <w:tcMar>
              <w:left w:w="15" w:type="dxa"/>
              <w:top w:w="15" w:type="dxa"/>
              <w:right w:w="15" w:type="dxa"/>
            </w:tcMar>
            <w:tcW w:w="5891"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rPr>
            </w:r>
            <w:r/>
          </w:p>
        </w:tc>
        <w:tc>
          <w:tcPr>
            <w:tcMar>
              <w:left w:w="15" w:type="dxa"/>
              <w:top w:w="15" w:type="dxa"/>
              <w:right w:w="15" w:type="dxa"/>
            </w:tcMar>
            <w:tcW w:w="1198"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833"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1455" w:type="dxa"/>
            <w:vAlign w:val="center"/>
            <w:vMerge w:val="continue"/>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r>
            <w:r/>
          </w:p>
        </w:tc>
      </w:tr>
    </w:tbl>
    <w:p>
      <w:pPr>
        <w:pStyle w:val="664"/>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pStyle w:val="664"/>
        <w:numPr>
          <w:ilvl w:val="0"/>
          <w:numId w:val="0"/>
        </w:numPr>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采购总预算限价962000元（2年），报刊运输投递与第三方邮政运输班组承接。</w:t>
      </w:r>
      <w:r>
        <w:rPr>
          <w:rFonts w:hint="eastAsia" w:ascii="仿宋" w:hAnsi="仿宋" w:eastAsia="仿宋"/>
          <w:bCs/>
          <w:sz w:val="28"/>
          <w:szCs w:val="28"/>
          <w:highlight w:val="none"/>
          <w:lang w:val="en-US" w:eastAsia="zh-CN"/>
        </w:rPr>
      </w:r>
      <w:r/>
    </w:p>
    <w:p>
      <w:pPr>
        <w:pStyle w:val="664"/>
        <w:numPr>
          <w:ilvl w:val="0"/>
          <w:numId w:val="0"/>
        </w:numPr>
        <w:ind w:firstLine="562"/>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hint="eastAsia" w:ascii="仿宋" w:hAnsi="仿宋" w:eastAsia="仿宋"/>
          <w:b/>
          <w:bCs w:val="0"/>
          <w:sz w:val="28"/>
          <w:szCs w:val="28"/>
          <w:highlight w:val="none"/>
          <w:lang w:val="en-US" w:eastAsia="zh-CN"/>
        </w:rPr>
        <w:t xml:space="preserve">二、服务要求</w:t>
      </w:r>
      <w:r>
        <w:rPr>
          <w:rFonts w:hint="eastAsia" w:ascii="仿宋" w:hAnsi="仿宋" w:eastAsia="仿宋"/>
          <w:bCs/>
          <w:sz w:val="28"/>
          <w:szCs w:val="28"/>
          <w:highlight w:val="none"/>
          <w:lang w:val="en-US" w:eastAsia="zh-CN"/>
        </w:rPr>
        <w:t xml:space="preserve">：</w:t>
      </w:r>
      <w:r>
        <w:rPr>
          <w:rFonts w:hint="eastAsia" w:ascii="仿宋" w:hAnsi="仿宋" w:eastAsia="仿宋"/>
          <w:bCs/>
          <w:sz w:val="28"/>
          <w:szCs w:val="28"/>
          <w:highlight w:val="none"/>
          <w:lang w:val="en-US" w:eastAsia="zh-CN"/>
        </w:rPr>
      </w:r>
      <w:r/>
    </w:p>
    <w:p>
      <w:pPr>
        <w:pStyle w:val="664"/>
        <w:numPr>
          <w:ilvl w:val="0"/>
          <w:numId w:val="0"/>
        </w:numPr>
        <w:ind w:firstLine="560"/>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2.1中标方要加强对各道工序的严格管理，确保套印准确，色彩亮丽，图文清晰，版面清洁，不交付不合标准的机头报、机尾报。</w:t>
      </w:r>
      <w:r>
        <w:rPr>
          <w:rFonts w:hint="eastAsia" w:ascii="仿宋" w:hAnsi="仿宋" w:eastAsia="仿宋"/>
          <w:bCs/>
          <w:sz w:val="28"/>
          <w:szCs w:val="28"/>
          <w:highlight w:val="none"/>
          <w:lang w:val="en-US" w:eastAsia="zh-CN"/>
        </w:rPr>
      </w:r>
      <w:r/>
    </w:p>
    <w:p>
      <w:pPr>
        <w:pStyle w:val="664"/>
        <w:ind w:firstLine="560"/>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2.2招标方负责印前排版、设计、制作，通过宽带以PDF文件形式传输给中标方制版印刷。招标方每日印数以书面形式传真给中标方，中标方以印数单为准开机印刷。</w:t>
      </w:r>
      <w:r>
        <w:rPr>
          <w:rFonts w:hint="eastAsia" w:ascii="仿宋" w:hAnsi="仿宋" w:eastAsia="仿宋"/>
          <w:bCs/>
          <w:sz w:val="28"/>
          <w:szCs w:val="28"/>
          <w:highlight w:val="none"/>
          <w:lang w:val="en-US" w:eastAsia="zh-CN"/>
        </w:rPr>
      </w:r>
      <w:r/>
    </w:p>
    <w:p>
      <w:pPr>
        <w:pStyle w:val="664"/>
        <w:ind w:firstLine="560"/>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2.3中标方安排专人每晚值班，负责《盱眙日报》的传版对接，处理应急事务，以及回传的确认。</w:t>
      </w:r>
      <w:r>
        <w:rPr>
          <w:rFonts w:hint="eastAsia" w:ascii="仿宋" w:hAnsi="仿宋" w:eastAsia="仿宋"/>
          <w:bCs/>
          <w:sz w:val="28"/>
          <w:szCs w:val="28"/>
          <w:highlight w:val="none"/>
          <w:lang w:val="en-US" w:eastAsia="zh-CN"/>
        </w:rPr>
      </w:r>
      <w:r/>
    </w:p>
    <w:p>
      <w:pPr>
        <w:pStyle w:val="664"/>
        <w:ind w:firstLine="560"/>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2.4中标方须设立“第一读者”，对每天报纸印前、印中、印后全过程严格审阅，发现问题，迅速反馈，及时纠正，确保高质量印刷。</w:t>
      </w:r>
      <w:r>
        <w:rPr>
          <w:rFonts w:hint="eastAsia" w:ascii="仿宋" w:hAnsi="仿宋" w:eastAsia="仿宋"/>
          <w:bCs/>
          <w:sz w:val="28"/>
          <w:szCs w:val="28"/>
          <w:highlight w:val="none"/>
          <w:lang w:val="en-US" w:eastAsia="zh-CN"/>
        </w:rPr>
      </w:r>
      <w:r/>
    </w:p>
    <w:p>
      <w:pPr>
        <w:pStyle w:val="664"/>
        <w:ind w:firstLine="560"/>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2.5成品每叠每捆份数要准确充足，中标方负责对接装车运送，采购方监督运投方运输与投递，保证次日凌晨交付淮安（盱眙）邮政投递班组。如招标方遇特殊情况传版时间延迟至次日凌晨3时以后的，需调度力量完成印刷并确保在4个小时内运送到位。</w:t>
      </w:r>
      <w:r>
        <w:rPr>
          <w:rFonts w:hint="eastAsia" w:ascii="仿宋" w:hAnsi="仿宋" w:eastAsia="仿宋"/>
          <w:bCs/>
          <w:sz w:val="28"/>
          <w:szCs w:val="28"/>
          <w:highlight w:val="none"/>
          <w:lang w:val="en-US" w:eastAsia="zh-CN"/>
        </w:rPr>
      </w:r>
      <w:r/>
    </w:p>
    <w:p>
      <w:pPr>
        <w:pStyle w:val="664"/>
        <w:ind w:firstLine="560"/>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2.6印刷价为全年包干价，包含纸张、油墨、CTP制版、人工、耗材及装卸运输全部费用。</w:t>
      </w:r>
      <w:r>
        <w:rPr>
          <w:rFonts w:hint="eastAsia" w:ascii="仿宋" w:hAnsi="仿宋" w:eastAsia="仿宋"/>
          <w:bCs/>
          <w:sz w:val="28"/>
          <w:szCs w:val="28"/>
          <w:highlight w:val="none"/>
          <w:lang w:val="en-US" w:eastAsia="zh-CN"/>
        </w:rPr>
      </w:r>
      <w:r/>
    </w:p>
    <w:p>
      <w:pPr>
        <w:pStyle w:val="664"/>
        <w:ind w:firstLine="560"/>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2.7中标方在每月初将上月份的印刷费结成明细表（包括日期、开版数量、金额）发送采购方。中标方及时将增值税发票（按月或按季度）与采购方对接确认，采购方将印刷费及时足额支付中标方（年度进行汇算，确认后结算最后一期服务费）。</w:t>
      </w:r>
      <w:r>
        <w:rPr>
          <w:rFonts w:hint="eastAsia" w:ascii="仿宋" w:hAnsi="仿宋" w:eastAsia="仿宋"/>
          <w:bCs/>
          <w:sz w:val="28"/>
          <w:szCs w:val="28"/>
          <w:highlight w:val="none"/>
          <w:lang w:val="en-US" w:eastAsia="zh-CN"/>
        </w:rPr>
      </w:r>
      <w:r/>
    </w:p>
    <w:p>
      <w:pPr>
        <w:pStyle w:val="664"/>
        <w:ind w:firstLine="560"/>
        <w:keepLines w:val="0"/>
        <w:keepNext w:val="0"/>
        <w:pageBreakBefore w:val="0"/>
        <w:spacing w:line="52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2.8如出现带有印刷质量问题的报纸投递到户或流入市场，损害到招标方的信誉和形象的，中标方应根据实际损失给予双倍赔偿，并无条件接受招标方中止合同的要求。</w:t>
      </w:r>
      <w:r>
        <w:rPr>
          <w:rFonts w:hint="eastAsia" w:ascii="仿宋" w:hAnsi="仿宋" w:eastAsia="仿宋"/>
          <w:bCs/>
          <w:sz w:val="28"/>
          <w:szCs w:val="28"/>
          <w:highlight w:val="none"/>
        </w:rPr>
      </w:r>
      <w:r/>
    </w:p>
    <w:p>
      <w:pPr>
        <w:pStyle w:val="664"/>
        <w:ind w:firstLine="560"/>
        <w:keepLines w:val="0"/>
        <w:keepNext w:val="0"/>
        <w:pageBreakBefore w:val="0"/>
        <w:spacing w:line="52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651"/>
        <w:ind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3.1服务期限</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二年</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1"/>
        <w:ind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3.2</w:t>
      </w:r>
      <w:r>
        <w:rPr>
          <w:rFonts w:hint="eastAsia" w:ascii="仿宋" w:hAnsi="仿宋" w:eastAsia="仿宋"/>
          <w:sz w:val="28"/>
          <w:szCs w:val="28"/>
          <w:highlight w:val="none"/>
        </w:rPr>
        <w:t xml:space="preserve">供货地点:由采购人指定。</w:t>
      </w:r>
      <w:r>
        <w:rPr>
          <w:rFonts w:hint="eastAsia" w:ascii="仿宋" w:hAnsi="仿宋" w:eastAsia="仿宋"/>
          <w:sz w:val="28"/>
          <w:szCs w:val="28"/>
          <w:highlight w:val="none"/>
        </w:rPr>
      </w:r>
      <w:r/>
    </w:p>
    <w:p>
      <w:pPr>
        <w:pStyle w:val="651"/>
        <w:ind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3.3</w:t>
      </w:r>
      <w:r>
        <w:rPr>
          <w:rFonts w:hint="eastAsia" w:ascii="仿宋" w:hAnsi="仿宋" w:eastAsia="仿宋"/>
          <w:sz w:val="28"/>
          <w:szCs w:val="28"/>
          <w:highlight w:val="none"/>
        </w:rPr>
        <w:t xml:space="preserve">付款方式:当年6月份结</w:t>
      </w:r>
      <w:r>
        <w:rPr>
          <w:rFonts w:hint="eastAsia" w:ascii="仿宋" w:hAnsi="仿宋" w:eastAsia="仿宋"/>
          <w:sz w:val="28"/>
          <w:szCs w:val="28"/>
          <w:highlight w:val="none"/>
          <w:lang w:val="en-US" w:eastAsia="zh-CN"/>
        </w:rPr>
        <w:t xml:space="preserve">算</w:t>
      </w:r>
      <w:r>
        <w:rPr>
          <w:rFonts w:hint="eastAsia" w:ascii="仿宋" w:hAnsi="仿宋" w:eastAsia="仿宋"/>
          <w:sz w:val="28"/>
          <w:szCs w:val="28"/>
          <w:highlight w:val="none"/>
        </w:rPr>
        <w:t xml:space="preserve">上半年实际发生的</w:t>
      </w:r>
      <w:r>
        <w:rPr>
          <w:rFonts w:hint="eastAsia" w:ascii="仿宋" w:hAnsi="仿宋" w:eastAsia="仿宋"/>
          <w:sz w:val="28"/>
          <w:szCs w:val="28"/>
          <w:highlight w:val="none"/>
          <w:lang w:val="en-US" w:eastAsia="zh-CN"/>
        </w:rPr>
        <w:t xml:space="preserve">合作</w:t>
      </w:r>
      <w:r>
        <w:rPr>
          <w:rFonts w:hint="eastAsia" w:ascii="仿宋" w:hAnsi="仿宋" w:eastAsia="仿宋"/>
          <w:sz w:val="28"/>
          <w:szCs w:val="28"/>
          <w:highlight w:val="none"/>
        </w:rPr>
        <w:t xml:space="preserve">款，12月份结清下半年费用。</w:t>
      </w:r>
      <w:r>
        <w:rPr>
          <w:rFonts w:hint="eastAsia" w:ascii="仿宋" w:hAnsi="仿宋" w:eastAsia="仿宋"/>
          <w:sz w:val="28"/>
          <w:szCs w:val="28"/>
          <w:highlight w:val="none"/>
        </w:rPr>
      </w:r>
      <w:r/>
    </w:p>
    <w:p>
      <w:pPr>
        <w:pStyle w:val="664"/>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64"/>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rPr>
          <w:rFonts w:hint="eastAsia" w:ascii="黑体" w:hAnsi="黑体" w:eastAsia="黑体"/>
          <w:b/>
          <w:bCs/>
          <w:sz w:val="36"/>
          <w:szCs w:val="36"/>
          <w:highlight w:val="none"/>
        </w:rPr>
      </w:r>
      <w:r/>
    </w:p>
    <w:p>
      <w:pPr>
        <w:pStyle w:val="664"/>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64"/>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64"/>
        <w:rPr>
          <w:rFonts w:hint="eastAsia" w:ascii="黑体" w:hAnsi="黑体" w:eastAsia="黑体"/>
          <w:sz w:val="44"/>
          <w:szCs w:val="44"/>
          <w:highlight w:val="none"/>
        </w:rPr>
      </w:pPr>
      <w:r>
        <w:rPr>
          <w:rFonts w:hint="eastAsia" w:ascii="黑体" w:hAnsi="黑体" w:eastAsia="黑体"/>
          <w:sz w:val="44"/>
          <w:szCs w:val="44"/>
          <w:highlight w:val="none"/>
        </w:rPr>
      </w:r>
      <w:r/>
    </w:p>
    <w:p>
      <w:pPr>
        <w:pStyle w:val="664"/>
        <w:rPr>
          <w:rFonts w:hint="eastAsia" w:ascii="黑体" w:hAnsi="黑体" w:eastAsia="黑体"/>
          <w:sz w:val="32"/>
          <w:highlight w:val="none"/>
        </w:rPr>
      </w:pPr>
      <w:r>
        <w:rPr>
          <w:rFonts w:hint="eastAsia" w:ascii="黑体" w:hAnsi="黑体" w:eastAsia="黑体"/>
          <w:sz w:val="32"/>
          <w:highlight w:val="none"/>
        </w:rPr>
      </w:r>
      <w:r/>
    </w:p>
    <w:p>
      <w:pPr>
        <w:pStyle w:val="664"/>
        <w:rPr>
          <w:rFonts w:hint="eastAsia" w:ascii="黑体" w:hAnsi="黑体" w:eastAsia="黑体"/>
          <w:sz w:val="32"/>
          <w:highlight w:val="none"/>
        </w:rPr>
      </w:pPr>
      <w:r>
        <w:rPr>
          <w:rFonts w:hint="eastAsia" w:ascii="黑体" w:hAnsi="黑体" w:eastAsia="黑体"/>
          <w:sz w:val="32"/>
          <w:highlight w:val="none"/>
        </w:rPr>
      </w:r>
      <w:r/>
    </w:p>
    <w:p>
      <w:pPr>
        <w:pStyle w:val="651"/>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664"/>
        <w:rPr>
          <w:rFonts w:hint="eastAsia" w:ascii="黑体" w:hAnsi="黑体" w:eastAsia="黑体"/>
          <w:sz w:val="32"/>
          <w:highlight w:val="none"/>
        </w:rPr>
      </w:pPr>
      <w:r>
        <w:rPr>
          <w:rFonts w:hint="eastAsia" w:ascii="黑体" w:hAnsi="黑体" w:eastAsia="黑体"/>
          <w:sz w:val="32"/>
          <w:highlight w:val="none"/>
        </w:rPr>
      </w:r>
      <w:r/>
    </w:p>
    <w:p>
      <w:pPr>
        <w:pStyle w:val="664"/>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64"/>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64"/>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651"/>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1"/>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1"/>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1"/>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1"/>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1"/>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rPr>
          <w:rFonts w:hint="eastAsia" w:ascii="黑体" w:hAnsi="黑体" w:eastAsia="黑体"/>
          <w:b/>
          <w:bCs/>
          <w:sz w:val="32"/>
          <w:highlight w:val="none"/>
        </w:rPr>
      </w:r>
      <w:r/>
    </w:p>
    <w:p>
      <w:pPr>
        <w:pStyle w:val="664"/>
        <w:ind w:firstLine="1904"/>
        <w:rPr>
          <w:rFonts w:hint="eastAsia" w:ascii="黑体" w:hAnsi="黑体" w:eastAsia="黑体"/>
          <w:sz w:val="32"/>
          <w:highlight w:val="none"/>
        </w:rPr>
      </w:pPr>
      <w:r>
        <w:rPr>
          <w:rFonts w:hint="eastAsia" w:ascii="黑体" w:hAnsi="黑体" w:eastAsia="黑体"/>
          <w:sz w:val="32"/>
          <w:highlight w:val="none"/>
        </w:rPr>
      </w:r>
      <w:r/>
    </w:p>
    <w:p>
      <w:pPr>
        <w:pStyle w:val="664"/>
        <w:ind w:firstLine="1904"/>
        <w:rPr>
          <w:rFonts w:hint="eastAsia" w:ascii="黑体" w:hAnsi="黑体" w:eastAsia="黑体"/>
          <w:sz w:val="32"/>
          <w:highlight w:val="none"/>
        </w:rPr>
      </w:pPr>
      <w:r>
        <w:rPr>
          <w:rFonts w:hint="eastAsia" w:ascii="黑体" w:hAnsi="黑体" w:eastAsia="黑体"/>
          <w:sz w:val="32"/>
          <w:highlight w:val="none"/>
        </w:rPr>
      </w:r>
      <w:r/>
    </w:p>
    <w:p>
      <w:pPr>
        <w:pStyle w:val="664"/>
        <w:ind w:firstLine="1904"/>
        <w:rPr>
          <w:rFonts w:hint="eastAsia" w:ascii="黑体" w:hAnsi="黑体" w:eastAsia="黑体"/>
          <w:sz w:val="32"/>
          <w:highlight w:val="none"/>
        </w:rPr>
      </w:pPr>
      <w:r>
        <w:rPr>
          <w:rFonts w:hint="eastAsia" w:ascii="黑体" w:hAnsi="黑体" w:eastAsia="黑体"/>
          <w:sz w:val="32"/>
          <w:highlight w:val="none"/>
        </w:rPr>
      </w:r>
      <w:r/>
    </w:p>
    <w:p>
      <w:pPr>
        <w:pStyle w:val="664"/>
        <w:ind w:firstLine="1904"/>
        <w:rPr>
          <w:rFonts w:hint="eastAsia" w:ascii="黑体" w:hAnsi="黑体" w:eastAsia="黑体"/>
          <w:sz w:val="32"/>
          <w:highlight w:val="none"/>
        </w:rPr>
      </w:pPr>
      <w:r>
        <w:rPr>
          <w:rFonts w:hint="eastAsia" w:ascii="黑体" w:hAnsi="黑体" w:eastAsia="黑体"/>
          <w:sz w:val="32"/>
          <w:highlight w:val="none"/>
        </w:rPr>
      </w:r>
      <w:r/>
    </w:p>
    <w:p>
      <w:pPr>
        <w:pStyle w:val="664"/>
        <w:ind w:firstLine="2645"/>
        <w:rPr>
          <w:rFonts w:hint="eastAsia" w:ascii="黑体" w:hAnsi="黑体" w:eastAsia="黑体"/>
          <w:b/>
          <w:sz w:val="32"/>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val="en-US" w:eastAsia="zh-CN"/>
        </w:rPr>
        <w:t xml:space="preserve">五</w:t>
      </w:r>
      <w:r>
        <w:rPr>
          <w:rFonts w:hint="eastAsia" w:ascii="黑体" w:hAnsi="黑体" w:eastAsia="黑体"/>
          <w:b/>
          <w:sz w:val="36"/>
          <w:szCs w:val="24"/>
          <w:highlight w:val="none"/>
        </w:rPr>
        <w:t xml:space="preserve">年    月    日</w:t>
      </w:r>
      <w:r>
        <w:rPr>
          <w:rFonts w:hint="eastAsia" w:ascii="黑体" w:hAnsi="黑体" w:eastAsia="黑体"/>
          <w:b/>
          <w:sz w:val="32"/>
          <w:highlight w:val="none"/>
        </w:rPr>
      </w:r>
      <w:r/>
    </w:p>
    <w:p>
      <w:pPr>
        <w:pStyle w:val="651"/>
        <w:spacing w:line="640" w:lineRule="exact"/>
        <w:rPr>
          <w:rFonts w:hint="eastAsia" w:ascii="宋体" w:hAnsi="宋体"/>
          <w:sz w:val="28"/>
          <w:szCs w:val="28"/>
          <w:highlight w:val="none"/>
        </w:rPr>
      </w:pPr>
      <w:r>
        <w:rPr>
          <w:rFonts w:hint="eastAsia" w:ascii="宋体" w:hAnsi="宋体"/>
          <w:sz w:val="28"/>
          <w:szCs w:val="28"/>
          <w:highlight w:val="none"/>
        </w:rPr>
      </w:r>
      <w:r/>
    </w:p>
    <w:p>
      <w:pPr>
        <w:pStyle w:val="651"/>
        <w:spacing w:line="640" w:lineRule="exact"/>
        <w:rPr>
          <w:rFonts w:hint="eastAsia" w:ascii="宋体" w:hAnsi="宋体"/>
          <w:sz w:val="28"/>
          <w:szCs w:val="28"/>
          <w:highlight w:val="none"/>
        </w:rPr>
      </w:pPr>
      <w:r>
        <w:rPr>
          <w:rFonts w:hint="eastAsia" w:ascii="宋体" w:hAnsi="宋体"/>
          <w:sz w:val="28"/>
          <w:szCs w:val="28"/>
          <w:highlight w:val="none"/>
        </w:rPr>
      </w:r>
      <w:r/>
    </w:p>
    <w:p>
      <w:pPr>
        <w:pStyle w:val="651"/>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一、谈判函</w:t>
      </w:r>
      <w:r>
        <w:rPr>
          <w:rFonts w:hint="eastAsia" w:ascii="仿宋" w:hAnsi="仿宋" w:eastAsia="仿宋"/>
          <w:b/>
          <w:bCs/>
          <w:sz w:val="32"/>
          <w:szCs w:val="32"/>
          <w:highlight w:val="none"/>
        </w:rPr>
      </w:r>
      <w:r/>
    </w:p>
    <w:p>
      <w:pPr>
        <w:pStyle w:val="651"/>
        <w:spacing w:line="640" w:lineRule="exact"/>
        <w:rPr>
          <w:rFonts w:hint="eastAsia" w:ascii="仿宋" w:hAnsi="仿宋" w:eastAsia="仿宋"/>
          <w:sz w:val="28"/>
          <w:highlight w:val="none"/>
        </w:rPr>
      </w:pPr>
      <w:r>
        <w:rPr>
          <w:rFonts w:hint="eastAsia" w:ascii="仿宋" w:hAnsi="仿宋" w:eastAsia="仿宋"/>
          <w:sz w:val="28"/>
          <w:highlight w:val="none"/>
          <w:lang w:eastAsia="zh-CN"/>
        </w:rPr>
        <w:t xml:space="preserve">盱眙县融媒体中心</w:t>
      </w:r>
      <w:r>
        <w:rPr>
          <w:rFonts w:hint="eastAsia" w:ascii="仿宋" w:hAnsi="仿宋" w:eastAsia="仿宋"/>
          <w:sz w:val="28"/>
          <w:highlight w:val="none"/>
        </w:rPr>
        <w:t xml:space="preserve">:</w:t>
      </w:r>
      <w:r>
        <w:rPr>
          <w:rFonts w:hint="eastAsia" w:ascii="仿宋" w:hAnsi="仿宋" w:eastAsia="仿宋"/>
          <w:sz w:val="28"/>
          <w:highlight w:val="none"/>
        </w:rPr>
      </w:r>
      <w:r/>
    </w:p>
    <w:p>
      <w:pPr>
        <w:pStyle w:val="713"/>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谈判文件（包括更正公告，如果有的话）收悉，我们经详细审阅和研究，现决定参加本项目谈判。</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w:t>
      </w:r>
      <w:r>
        <w:rPr>
          <w:rFonts w:hint="eastAsia" w:ascii="仿宋" w:hAnsi="仿宋" w:eastAsia="仿宋"/>
          <w:sz w:val="28"/>
          <w:szCs w:val="28"/>
          <w:highlight w:val="none"/>
        </w:rPr>
        <w:t xml:space="preserve">全权处理本次项目谈判的有关事宜。</w:t>
      </w:r>
      <w:r>
        <w:rPr>
          <w:rFonts w:hint="eastAsia" w:ascii="仿宋" w:hAnsi="仿宋" w:eastAsia="仿宋"/>
          <w:sz w:val="28"/>
          <w:szCs w:val="28"/>
          <w:highlight w:val="none"/>
        </w:rPr>
      </w:r>
      <w:r/>
    </w:p>
    <w:p>
      <w:pPr>
        <w:pStyle w:val="651"/>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51"/>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713"/>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3、按照谈判文件中规定各项要求，我方愿以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元）的谈判总报价并按谈判文件的规定要求提供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rPr>
          <w:rFonts w:hint="eastAsia" w:ascii="仿宋" w:hAnsi="仿宋" w:eastAsia="仿宋"/>
          <w:sz w:val="28"/>
          <w:szCs w:val="28"/>
          <w:highlight w:val="none"/>
        </w:rPr>
      </w:r>
      <w:r/>
    </w:p>
    <w:p>
      <w:pPr>
        <w:pStyle w:val="651"/>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4、如果我们成交，我们将按谈判文件规定的时间提供货物和服务</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1"/>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highlight w:val="none"/>
        </w:rPr>
      </w:r>
      <w:r/>
    </w:p>
    <w:p>
      <w:pPr>
        <w:pStyle w:val="651"/>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6、我们同意向贵方提供贵方可能要求的与谈判有关的任何证据或资料</w:t>
      </w:r>
      <w:r>
        <w:rPr>
          <w:rFonts w:hint="eastAsia" w:ascii="仿宋" w:hAnsi="仿宋" w:eastAsia="仿宋"/>
          <w:sz w:val="28"/>
          <w:highlight w:val="none"/>
        </w:rPr>
        <w:t xml:space="preserve">，并保证所提供的都是真实的、准确的。</w:t>
      </w:r>
      <w:r>
        <w:rPr>
          <w:rFonts w:hint="eastAsia" w:ascii="仿宋" w:hAnsi="仿宋" w:eastAsia="仿宋"/>
          <w:sz w:val="28"/>
          <w:szCs w:val="28"/>
          <w:highlight w:val="none"/>
        </w:rPr>
      </w:r>
      <w:r/>
    </w:p>
    <w:p>
      <w:pPr>
        <w:pStyle w:val="651"/>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一旦我方成交，我方将按照谈判文件的规定，严格履行合同的责任和义务，并保证按谈判文件中规定的时间内提供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rPr>
          <w:rFonts w:hint="eastAsia" w:ascii="仿宋" w:hAnsi="仿宋" w:eastAsia="仿宋"/>
          <w:sz w:val="28"/>
          <w:szCs w:val="28"/>
          <w:highlight w:val="none"/>
        </w:rPr>
      </w:r>
      <w:r/>
    </w:p>
    <w:p>
      <w:pPr>
        <w:pStyle w:val="651"/>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pStyle w:val="651"/>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713"/>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rPr>
          <w:rFonts w:hint="eastAsia" w:ascii="仿宋" w:hAnsi="仿宋" w:eastAsia="仿宋"/>
          <w:sz w:val="28"/>
          <w:highlight w:val="none"/>
          <w:u w:val="single"/>
        </w:rPr>
      </w:r>
      <w:r/>
    </w:p>
    <w:p>
      <w:pPr>
        <w:pStyle w:val="713"/>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51"/>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664"/>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651"/>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pStyle w:val="651"/>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1"/>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1"/>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1"/>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1"/>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1"/>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1"/>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1"/>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64"/>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二、谈判报价明细表</w:t>
      </w:r>
      <w:r>
        <w:rPr>
          <w:rFonts w:hint="eastAsia" w:ascii="仿宋" w:hAnsi="仿宋" w:eastAsia="仿宋"/>
          <w:b/>
          <w:sz w:val="32"/>
          <w:szCs w:val="32"/>
          <w:highlight w:val="none"/>
        </w:rPr>
      </w:r>
      <w:r/>
    </w:p>
    <w:p>
      <w:pPr>
        <w:pStyle w:val="664"/>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pPr w:horzAnchor="page" w:tblpXSpec="center" w:vertAnchor="text" w:tblpY="553" w:leftFromText="180" w:topFromText="0" w:rightFromText="180" w:bottomFromText="0"/>
        <w:tblW w:w="5827" w:type="pct"/>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675"/>
        <w:gridCol w:w="1101"/>
        <w:gridCol w:w="2428"/>
        <w:gridCol w:w="1453"/>
        <w:gridCol w:w="797"/>
        <w:gridCol w:w="1213"/>
        <w:gridCol w:w="1198"/>
        <w:gridCol w:w="833"/>
        <w:gridCol w:w="1455"/>
      </w:tblGrid>
      <w:tr>
        <w:trPr>
          <w:trHeight w:val="420"/>
        </w:trPr>
        <w:tc>
          <w:tcPr>
            <w:tcMar>
              <w:left w:w="15" w:type="dxa"/>
              <w:top w:w="15" w:type="dxa"/>
              <w:right w:w="15" w:type="dxa"/>
            </w:tcMar>
            <w:tcW w:w="634"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序号</w:t>
            </w:r>
            <w:r>
              <w:rPr>
                <w:rFonts w:hint="eastAsia" w:ascii="仿宋" w:hAnsi="仿宋" w:eastAsia="仿宋" w:cs="仿宋"/>
                <w:sz w:val="24"/>
                <w:szCs w:val="24"/>
                <w:highlight w:val="none"/>
              </w:rPr>
            </w:r>
            <w:r/>
          </w:p>
        </w:tc>
        <w:tc>
          <w:tcPr>
            <w:tcMar>
              <w:left w:w="15" w:type="dxa"/>
              <w:top w:w="15" w:type="dxa"/>
              <w:right w:w="15" w:type="dxa"/>
            </w:tcMar>
            <w:tcW w:w="1034"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产品名称</w:t>
            </w:r>
            <w:r>
              <w:rPr>
                <w:rFonts w:hint="eastAsia" w:ascii="仿宋" w:hAnsi="仿宋" w:eastAsia="仿宋" w:cs="仿宋"/>
                <w:sz w:val="24"/>
                <w:szCs w:val="24"/>
                <w:highlight w:val="none"/>
              </w:rPr>
            </w:r>
            <w:r/>
          </w:p>
        </w:tc>
        <w:tc>
          <w:tcPr>
            <w:tcMar>
              <w:left w:w="15" w:type="dxa"/>
              <w:top w:w="15" w:type="dxa"/>
              <w:right w:w="15" w:type="dxa"/>
            </w:tcMar>
            <w:tcW w:w="2281"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技术要求</w:t>
            </w:r>
            <w:r>
              <w:rPr>
                <w:rFonts w:hint="eastAsia" w:ascii="仿宋" w:hAnsi="仿宋" w:eastAsia="仿宋" w:cs="仿宋"/>
                <w:sz w:val="24"/>
                <w:szCs w:val="24"/>
                <w:highlight w:val="none"/>
              </w:rPr>
            </w:r>
            <w:r/>
          </w:p>
        </w:tc>
        <w:tc>
          <w:tcPr>
            <w:tcMar>
              <w:left w:w="15" w:type="dxa"/>
              <w:top w:w="15" w:type="dxa"/>
              <w:right w:w="15" w:type="dxa"/>
            </w:tcMar>
            <w:tcW w:w="136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数量</w:t>
            </w:r>
            <w:r>
              <w:rPr>
                <w:rFonts w:hint="eastAsia" w:ascii="仿宋" w:hAnsi="仿宋" w:eastAsia="仿宋" w:cs="仿宋"/>
                <w:sz w:val="24"/>
                <w:szCs w:val="24"/>
                <w:highlight w:val="none"/>
              </w:rPr>
            </w:r>
            <w:r/>
          </w:p>
        </w:tc>
        <w:tc>
          <w:tcPr>
            <w:tcMar>
              <w:left w:w="15" w:type="dxa"/>
              <w:top w:w="15" w:type="dxa"/>
              <w:right w:w="15" w:type="dxa"/>
            </w:tcMar>
            <w:tcW w:w="749"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单位</w:t>
            </w:r>
            <w:r>
              <w:rPr>
                <w:rFonts w:hint="eastAsia" w:ascii="仿宋" w:hAnsi="仿宋" w:eastAsia="仿宋" w:cs="仿宋"/>
                <w:sz w:val="24"/>
                <w:szCs w:val="24"/>
                <w:highlight w:val="none"/>
              </w:rPr>
            </w:r>
            <w:r/>
          </w:p>
        </w:tc>
        <w:tc>
          <w:tcPr>
            <w:tcMar>
              <w:left w:w="15" w:type="dxa"/>
              <w:top w:w="15" w:type="dxa"/>
              <w:right w:w="15" w:type="dxa"/>
            </w:tcMar>
            <w:tcW w:w="1139"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限价</w:t>
            </w:r>
            <w:r>
              <w:rPr>
                <w:rFonts w:hint="eastAsia" w:ascii="仿宋" w:hAnsi="仿宋" w:eastAsia="仿宋" w:cs="仿宋"/>
                <w:sz w:val="24"/>
                <w:szCs w:val="24"/>
                <w:highlight w:val="none"/>
              </w:rPr>
            </w:r>
            <w:r/>
          </w:p>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（元）</w:t>
            </w:r>
            <w:r>
              <w:rPr>
                <w:rFonts w:hint="eastAsia" w:ascii="仿宋" w:hAnsi="仿宋" w:eastAsia="仿宋" w:cs="仿宋"/>
                <w:sz w:val="24"/>
                <w:szCs w:val="24"/>
                <w:highlight w:val="none"/>
              </w:rPr>
            </w:r>
            <w:r/>
          </w:p>
        </w:tc>
        <w:tc>
          <w:tcPr>
            <w:tcMar>
              <w:left w:w="15" w:type="dxa"/>
              <w:top w:w="15" w:type="dxa"/>
              <w:right w:w="15" w:type="dxa"/>
            </w:tcMar>
            <w:tcW w:w="1125"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投标单价（元）</w:t>
            </w:r>
            <w:r>
              <w:rPr>
                <w:rFonts w:hint="eastAsia" w:ascii="仿宋" w:hAnsi="仿宋" w:eastAsia="仿宋" w:cs="仿宋"/>
                <w:sz w:val="24"/>
                <w:szCs w:val="24"/>
                <w:highlight w:val="none"/>
              </w:rPr>
            </w:r>
            <w:r/>
          </w:p>
        </w:tc>
        <w:tc>
          <w:tcPr>
            <w:tcMar>
              <w:left w:w="15" w:type="dxa"/>
              <w:top w:w="15" w:type="dxa"/>
              <w:right w:w="15" w:type="dxa"/>
            </w:tcMar>
            <w:tcW w:w="782"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合计</w:t>
            </w:r>
            <w:r>
              <w:rPr>
                <w:rFonts w:hint="eastAsia" w:ascii="仿宋" w:hAnsi="仿宋" w:eastAsia="仿宋" w:cs="仿宋"/>
                <w:sz w:val="24"/>
                <w:szCs w:val="24"/>
                <w:highlight w:val="none"/>
              </w:rPr>
            </w:r>
            <w:r/>
          </w:p>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rPr>
              <w:t xml:space="preserve">（元）</w:t>
            </w:r>
            <w:r>
              <w:rPr>
                <w:rFonts w:hint="eastAsia" w:ascii="仿宋" w:hAnsi="仿宋" w:eastAsia="仿宋" w:cs="仿宋"/>
                <w:sz w:val="24"/>
                <w:szCs w:val="24"/>
                <w:highlight w:val="none"/>
              </w:rPr>
            </w:r>
            <w:r/>
          </w:p>
        </w:tc>
        <w:tc>
          <w:tcPr>
            <w:tcMar>
              <w:left w:w="15" w:type="dxa"/>
              <w:top w:w="15" w:type="dxa"/>
              <w:right w:w="15" w:type="dxa"/>
            </w:tcMar>
            <w:tcW w:w="1367" w:type="dxa"/>
            <w:vAlign w:val="center"/>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t xml:space="preserve">备注</w:t>
            </w:r>
            <w:r>
              <w:rPr>
                <w:rFonts w:hint="eastAsia" w:ascii="仿宋" w:hAnsi="仿宋" w:eastAsia="仿宋" w:cs="仿宋"/>
                <w:sz w:val="24"/>
                <w:szCs w:val="24"/>
                <w:highlight w:val="none"/>
                <w:lang w:val="en-US" w:eastAsia="zh-CN"/>
              </w:rPr>
            </w:r>
            <w:r/>
          </w:p>
        </w:tc>
      </w:tr>
      <w:tr>
        <w:trPr>
          <w:trHeight w:val="420"/>
        </w:trPr>
        <w:tc>
          <w:tcPr>
            <w:tcMar>
              <w:left w:w="15" w:type="dxa"/>
              <w:top w:w="15" w:type="dxa"/>
              <w:right w:w="15" w:type="dxa"/>
            </w:tcMar>
            <w:tcW w:w="634"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r>
            <w:r/>
          </w:p>
        </w:tc>
        <w:tc>
          <w:tcPr>
            <w:tcMar>
              <w:left w:w="15" w:type="dxa"/>
              <w:top w:w="15" w:type="dxa"/>
              <w:right w:w="15" w:type="dxa"/>
            </w:tcMar>
            <w:tcW w:w="1034"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《盱眙日报》印刷</w:t>
            </w:r>
            <w:r>
              <w:rPr>
                <w:rFonts w:hint="eastAsia" w:ascii="仿宋" w:hAnsi="仿宋" w:eastAsia="仿宋" w:cs="仿宋"/>
                <w:sz w:val="24"/>
                <w:szCs w:val="24"/>
                <w:highlight w:val="none"/>
              </w:rPr>
            </w:r>
            <w:r/>
          </w:p>
        </w:tc>
        <w:tc>
          <w:tcPr>
            <w:tcMar>
              <w:left w:w="15" w:type="dxa"/>
              <w:top w:w="15" w:type="dxa"/>
              <w:right w:w="15" w:type="dxa"/>
            </w:tcMar>
            <w:tcW w:w="2281"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1.《盱眙日报》对开4版，计划每周3期</w:t>
            </w:r>
            <w:r>
              <w:rPr>
                <w:rFonts w:hint="eastAsia" w:ascii="仿宋" w:hAnsi="仿宋" w:eastAsia="仿宋" w:cs="仿宋"/>
                <w:color w:val="000000"/>
                <w:sz w:val="24"/>
                <w:szCs w:val="24"/>
                <w:highlight w:val="none"/>
                <w:lang w:val="en-US" w:eastAsia="zh-CN"/>
              </w:rPr>
              <w:t xml:space="preserve">，每期5000份，产品尺</w:t>
            </w:r>
            <w:r>
              <w:rPr>
                <w:rFonts w:hint="eastAsia" w:ascii="仿宋" w:hAnsi="仿宋" w:eastAsia="仿宋" w:cs="仿宋"/>
                <w:sz w:val="24"/>
                <w:szCs w:val="24"/>
                <w:highlight w:val="none"/>
                <w:lang w:val="en-US" w:eastAsia="zh-CN"/>
              </w:rPr>
              <w:t xml:space="preserve">寸为770mm*540mm；双面彩报，CTP直接制版，正品新闻纸印刷。</w:t>
            </w:r>
            <w:r>
              <w:rPr>
                <w:rFonts w:hint="eastAsia" w:ascii="仿宋" w:hAnsi="仿宋" w:eastAsia="仿宋" w:cs="仿宋"/>
                <w:sz w:val="24"/>
                <w:szCs w:val="24"/>
                <w:highlight w:val="none"/>
              </w:rPr>
            </w:r>
            <w:r/>
          </w:p>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2.可按需要加刊加印，印刷费按实际数量结算。</w:t>
            </w:r>
            <w:r>
              <w:rPr>
                <w:rFonts w:hint="eastAsia" w:ascii="仿宋" w:hAnsi="仿宋" w:eastAsia="仿宋" w:cs="仿宋"/>
                <w:sz w:val="24"/>
                <w:szCs w:val="24"/>
                <w:highlight w:val="none"/>
              </w:rPr>
            </w:r>
            <w:r/>
          </w:p>
        </w:tc>
        <w:tc>
          <w:tcPr>
            <w:tcMar>
              <w:left w:w="15" w:type="dxa"/>
              <w:top w:w="15" w:type="dxa"/>
              <w:right w:w="15" w:type="dxa"/>
            </w:tcMar>
            <w:tcW w:w="136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360</w:t>
            </w:r>
            <w:r>
              <w:rPr>
                <w:rFonts w:hint="eastAsia" w:ascii="仿宋" w:hAnsi="仿宋" w:eastAsia="仿宋" w:cs="仿宋"/>
                <w:sz w:val="24"/>
                <w:szCs w:val="24"/>
                <w:highlight w:val="none"/>
              </w:rPr>
            </w:r>
            <w:r/>
          </w:p>
        </w:tc>
        <w:tc>
          <w:tcPr>
            <w:tcMar>
              <w:left w:w="15" w:type="dxa"/>
              <w:top w:w="15" w:type="dxa"/>
              <w:right w:w="15" w:type="dxa"/>
            </w:tcMar>
            <w:tcW w:w="749"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期</w:t>
            </w:r>
            <w:r>
              <w:rPr>
                <w:rFonts w:hint="eastAsia" w:ascii="仿宋" w:hAnsi="仿宋" w:eastAsia="仿宋" w:cs="仿宋"/>
                <w:sz w:val="24"/>
                <w:szCs w:val="24"/>
                <w:highlight w:val="none"/>
              </w:rPr>
            </w:r>
            <w:r/>
          </w:p>
        </w:tc>
        <w:tc>
          <w:tcPr>
            <w:tcMar>
              <w:left w:w="15" w:type="dxa"/>
              <w:top w:w="15" w:type="dxa"/>
              <w:right w:w="15" w:type="dxa"/>
            </w:tcMar>
            <w:tcW w:w="1139" w:type="dxa"/>
            <w:vAlign w:val="center"/>
            <w:vMerge w:val="restart"/>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756000</w:t>
            </w:r>
            <w:r>
              <w:rPr>
                <w:rFonts w:hint="eastAsia" w:ascii="仿宋" w:hAnsi="仿宋" w:eastAsia="仿宋" w:cs="仿宋"/>
                <w:sz w:val="24"/>
                <w:szCs w:val="24"/>
                <w:highlight w:val="none"/>
              </w:rPr>
            </w:r>
            <w:r/>
          </w:p>
        </w:tc>
        <w:tc>
          <w:tcPr>
            <w:tcMar>
              <w:left w:w="15" w:type="dxa"/>
              <w:top w:w="15" w:type="dxa"/>
              <w:right w:w="15" w:type="dxa"/>
            </w:tcMar>
            <w:tcW w:w="1125"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782"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1367" w:type="dxa"/>
            <w:vAlign w:val="center"/>
            <w:vMerge w:val="restart"/>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t xml:space="preserve">应急承诺：</w:t>
            </w:r>
            <w:r>
              <w:rPr>
                <w:rFonts w:hint="eastAsia" w:ascii="仿宋" w:hAnsi="仿宋" w:eastAsia="仿宋" w:cs="仿宋"/>
                <w:sz w:val="24"/>
                <w:szCs w:val="24"/>
                <w:highlight w:val="none"/>
                <w:lang w:val="en-US" w:eastAsia="zh-CN"/>
              </w:rPr>
            </w:r>
            <w:r/>
          </w:p>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t xml:space="preserve">如我方有幸中标，将做到认真排印，接期交付报纸印刷成品。如出现印刷设备故障等突发异常情况时，可启用备机或备印点对接项目印刷，确保及时交付，否则我方愿意承担经济损失等相关责任。</w:t>
            </w:r>
            <w:r>
              <w:rPr>
                <w:rFonts w:hint="eastAsia" w:ascii="仿宋" w:hAnsi="仿宋" w:eastAsia="仿宋" w:cs="仿宋"/>
                <w:sz w:val="24"/>
                <w:szCs w:val="24"/>
                <w:highlight w:val="none"/>
                <w:lang w:val="en-US" w:eastAsia="zh-CN"/>
              </w:rPr>
            </w:r>
            <w:r/>
          </w:p>
        </w:tc>
      </w:tr>
      <w:tr>
        <w:trPr>
          <w:trHeight w:val="420"/>
        </w:trPr>
        <w:tc>
          <w:tcPr>
            <w:tcMar>
              <w:left w:w="15" w:type="dxa"/>
              <w:top w:w="15" w:type="dxa"/>
              <w:right w:w="15" w:type="dxa"/>
            </w:tcMar>
            <w:tcW w:w="634"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r>
            <w:r/>
          </w:p>
        </w:tc>
        <w:tc>
          <w:tcPr>
            <w:tcMar>
              <w:left w:w="15" w:type="dxa"/>
              <w:top w:w="15" w:type="dxa"/>
              <w:right w:w="15" w:type="dxa"/>
            </w:tcMar>
            <w:tcW w:w="1034"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合订本印刷及装订</w:t>
            </w:r>
            <w:r>
              <w:rPr>
                <w:rFonts w:hint="eastAsia" w:ascii="仿宋" w:hAnsi="仿宋" w:eastAsia="仿宋" w:cs="仿宋"/>
                <w:sz w:val="24"/>
                <w:szCs w:val="24"/>
                <w:highlight w:val="none"/>
              </w:rPr>
            </w:r>
            <w:r/>
          </w:p>
        </w:tc>
        <w:tc>
          <w:tcPr>
            <w:tcMar>
              <w:left w:w="15" w:type="dxa"/>
              <w:top w:w="15" w:type="dxa"/>
              <w:right w:w="15" w:type="dxa"/>
            </w:tcMar>
            <w:tcW w:w="2281"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对承印报刊按要求汇总加封面（底）装订成合订本，印刷费按实际数量据实计算。</w:t>
            </w:r>
            <w:r>
              <w:rPr>
                <w:rFonts w:hint="eastAsia" w:ascii="仿宋" w:hAnsi="仿宋" w:eastAsia="仿宋" w:cs="仿宋"/>
                <w:sz w:val="24"/>
                <w:szCs w:val="24"/>
                <w:highlight w:val="none"/>
              </w:rPr>
            </w:r>
            <w:r/>
          </w:p>
        </w:tc>
        <w:tc>
          <w:tcPr>
            <w:tcMar>
              <w:left w:w="15" w:type="dxa"/>
              <w:top w:w="15" w:type="dxa"/>
              <w:right w:w="15" w:type="dxa"/>
            </w:tcMar>
            <w:tcW w:w="136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400</w:t>
            </w:r>
            <w:r>
              <w:rPr>
                <w:rFonts w:hint="eastAsia" w:ascii="仿宋" w:hAnsi="仿宋" w:eastAsia="仿宋" w:cs="仿宋"/>
                <w:sz w:val="24"/>
                <w:szCs w:val="24"/>
                <w:highlight w:val="none"/>
              </w:rPr>
            </w:r>
            <w:r/>
          </w:p>
        </w:tc>
        <w:tc>
          <w:tcPr>
            <w:tcMar>
              <w:left w:w="15" w:type="dxa"/>
              <w:top w:w="15" w:type="dxa"/>
              <w:right w:w="15" w:type="dxa"/>
            </w:tcMar>
            <w:tcW w:w="749"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本</w:t>
            </w:r>
            <w:r>
              <w:rPr>
                <w:rFonts w:hint="eastAsia" w:ascii="仿宋" w:hAnsi="仿宋" w:eastAsia="仿宋" w:cs="仿宋"/>
                <w:sz w:val="24"/>
                <w:szCs w:val="24"/>
                <w:highlight w:val="none"/>
              </w:rPr>
            </w:r>
            <w:r/>
          </w:p>
        </w:tc>
        <w:tc>
          <w:tcPr>
            <w:tcMar>
              <w:left w:w="15" w:type="dxa"/>
              <w:top w:w="15" w:type="dxa"/>
              <w:right w:w="15" w:type="dxa"/>
            </w:tcMar>
            <w:tcW w:w="1139" w:type="dxa"/>
            <w:vAlign w:val="center"/>
            <w:vMerge w:val="continue"/>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rPr>
            </w:r>
            <w:r/>
          </w:p>
        </w:tc>
        <w:tc>
          <w:tcPr>
            <w:tcMar>
              <w:left w:w="15" w:type="dxa"/>
              <w:top w:w="15" w:type="dxa"/>
              <w:right w:w="15" w:type="dxa"/>
            </w:tcMar>
            <w:tcW w:w="1125"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782"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1367" w:type="dxa"/>
            <w:vAlign w:val="center"/>
            <w:vMerge w:val="continue"/>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r>
            <w:r/>
          </w:p>
        </w:tc>
      </w:tr>
      <w:tr>
        <w:trPr>
          <w:trHeight w:val="1141"/>
        </w:trPr>
        <w:tc>
          <w:tcPr>
            <w:tcMar>
              <w:left w:w="15" w:type="dxa"/>
              <w:top w:w="15" w:type="dxa"/>
              <w:right w:w="15" w:type="dxa"/>
            </w:tcMar>
            <w:tcW w:w="634"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r>
            <w:r/>
          </w:p>
        </w:tc>
        <w:tc>
          <w:tcPr>
            <w:tcMar>
              <w:left w:w="15" w:type="dxa"/>
              <w:top w:w="15" w:type="dxa"/>
              <w:right w:w="15" w:type="dxa"/>
            </w:tcMar>
            <w:tcW w:w="1034"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采访本</w:t>
            </w:r>
            <w:r>
              <w:rPr>
                <w:rFonts w:hint="eastAsia" w:ascii="仿宋" w:hAnsi="仿宋" w:eastAsia="仿宋" w:cs="仿宋"/>
                <w:sz w:val="24"/>
                <w:szCs w:val="24"/>
                <w:highlight w:val="none"/>
              </w:rPr>
            </w:r>
            <w:r/>
          </w:p>
        </w:tc>
        <w:tc>
          <w:tcPr>
            <w:tcMar>
              <w:left w:w="15" w:type="dxa"/>
              <w:top w:w="15" w:type="dxa"/>
              <w:right w:w="15" w:type="dxa"/>
            </w:tcMar>
            <w:tcW w:w="2281" w:type="dxa"/>
            <w:vAlign w:val="center"/>
            <w:textDirection w:val="lrTb"/>
            <w:noWrap/>
          </w:tcPr>
          <w:p>
            <w:pPr>
              <w:pStyle w:val="651"/>
              <w:jc w:val="both"/>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记录本200页，软皮封面，B5版式175*250mm，线装式装订，内芯幅面规格18K，内芯格线行距12mm，扉页个性化图文需与采购方确认，满足招标人要求。</w:t>
            </w:r>
            <w:r>
              <w:rPr>
                <w:rFonts w:hint="eastAsia" w:ascii="仿宋" w:hAnsi="仿宋" w:eastAsia="仿宋" w:cs="仿宋"/>
                <w:sz w:val="24"/>
                <w:szCs w:val="24"/>
                <w:highlight w:val="none"/>
              </w:rPr>
            </w:r>
            <w:r/>
          </w:p>
        </w:tc>
        <w:tc>
          <w:tcPr>
            <w:tcMar>
              <w:left w:w="15" w:type="dxa"/>
              <w:top w:w="15" w:type="dxa"/>
              <w:right w:w="15" w:type="dxa"/>
            </w:tcMar>
            <w:tcW w:w="136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400</w:t>
            </w:r>
            <w:r>
              <w:rPr>
                <w:rFonts w:hint="eastAsia" w:ascii="仿宋" w:hAnsi="仿宋" w:eastAsia="仿宋" w:cs="仿宋"/>
                <w:sz w:val="24"/>
                <w:szCs w:val="24"/>
                <w:highlight w:val="none"/>
              </w:rPr>
            </w:r>
            <w:r/>
          </w:p>
        </w:tc>
        <w:tc>
          <w:tcPr>
            <w:tcMar>
              <w:left w:w="15" w:type="dxa"/>
              <w:top w:w="15" w:type="dxa"/>
              <w:right w:w="15" w:type="dxa"/>
            </w:tcMar>
            <w:tcW w:w="749"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本</w:t>
            </w:r>
            <w:r>
              <w:rPr>
                <w:rFonts w:hint="eastAsia" w:ascii="仿宋" w:hAnsi="仿宋" w:eastAsia="仿宋" w:cs="仿宋"/>
                <w:sz w:val="24"/>
                <w:szCs w:val="24"/>
                <w:highlight w:val="none"/>
              </w:rPr>
            </w:r>
            <w:r/>
          </w:p>
        </w:tc>
        <w:tc>
          <w:tcPr>
            <w:tcMar>
              <w:left w:w="15" w:type="dxa"/>
              <w:top w:w="15" w:type="dxa"/>
              <w:right w:w="15" w:type="dxa"/>
            </w:tcMar>
            <w:tcW w:w="1139" w:type="dxa"/>
            <w:vAlign w:val="center"/>
            <w:vMerge w:val="continue"/>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rPr>
            </w:r>
            <w:r/>
          </w:p>
        </w:tc>
        <w:tc>
          <w:tcPr>
            <w:tcMar>
              <w:left w:w="15" w:type="dxa"/>
              <w:top w:w="15" w:type="dxa"/>
              <w:right w:w="15" w:type="dxa"/>
            </w:tcMar>
            <w:tcW w:w="1125"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782"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1367" w:type="dxa"/>
            <w:vAlign w:val="center"/>
            <w:vMerge w:val="continue"/>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r>
            <w:r/>
          </w:p>
        </w:tc>
      </w:tr>
      <w:tr>
        <w:trPr>
          <w:trHeight w:val="420"/>
        </w:trPr>
        <w:tc>
          <w:tcPr>
            <w:tcMar>
              <w:left w:w="15" w:type="dxa"/>
              <w:top w:w="15" w:type="dxa"/>
              <w:right w:w="15" w:type="dxa"/>
            </w:tcMar>
            <w:tcW w:w="634"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r>
            <w:r/>
          </w:p>
        </w:tc>
        <w:tc>
          <w:tcPr>
            <w:tcMar>
              <w:left w:w="15" w:type="dxa"/>
              <w:top w:w="15" w:type="dxa"/>
              <w:right w:w="15" w:type="dxa"/>
            </w:tcMar>
            <w:tcW w:w="1034"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运输投递费</w:t>
            </w:r>
            <w:r>
              <w:rPr>
                <w:rFonts w:hint="eastAsia" w:ascii="仿宋" w:hAnsi="仿宋" w:eastAsia="仿宋" w:cs="仿宋"/>
                <w:sz w:val="24"/>
                <w:szCs w:val="24"/>
                <w:highlight w:val="none"/>
              </w:rPr>
            </w:r>
            <w:r/>
          </w:p>
        </w:tc>
        <w:tc>
          <w:tcPr>
            <w:tcMar>
              <w:left w:w="15" w:type="dxa"/>
              <w:top w:w="15" w:type="dxa"/>
              <w:right w:w="15" w:type="dxa"/>
            </w:tcMar>
            <w:tcW w:w="2281" w:type="dxa"/>
            <w:vAlign w:val="center"/>
            <w:textDirection w:val="lrTb"/>
            <w:noWrap/>
          </w:tcPr>
          <w:p>
            <w:pPr>
              <w:pStyle w:val="651"/>
              <w:jc w:val="both"/>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符合报刊用品运输投递时效特性，报刊成品运输投递分送由第三方邮政运输班组承接。报刊当日凌晨及时装车运输，当日中午完成分送投递；满足招标人要求。</w:t>
            </w:r>
            <w:r>
              <w:rPr>
                <w:rFonts w:hint="eastAsia" w:ascii="仿宋" w:hAnsi="仿宋" w:eastAsia="仿宋" w:cs="仿宋"/>
                <w:sz w:val="24"/>
                <w:szCs w:val="24"/>
                <w:highlight w:val="none"/>
              </w:rPr>
            </w:r>
            <w:r/>
          </w:p>
        </w:tc>
        <w:tc>
          <w:tcPr>
            <w:tcMar>
              <w:left w:w="15" w:type="dxa"/>
              <w:top w:w="15" w:type="dxa"/>
              <w:right w:w="15" w:type="dxa"/>
            </w:tcMar>
            <w:tcW w:w="1365"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r>
            <w:r/>
          </w:p>
        </w:tc>
        <w:tc>
          <w:tcPr>
            <w:tcMar>
              <w:left w:w="15" w:type="dxa"/>
              <w:top w:w="15" w:type="dxa"/>
              <w:right w:w="15" w:type="dxa"/>
            </w:tcMar>
            <w:tcW w:w="749"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年</w:t>
            </w:r>
            <w:r>
              <w:rPr>
                <w:rFonts w:hint="eastAsia" w:ascii="仿宋" w:hAnsi="仿宋" w:eastAsia="仿宋" w:cs="仿宋"/>
                <w:sz w:val="24"/>
                <w:szCs w:val="24"/>
                <w:highlight w:val="none"/>
              </w:rPr>
            </w:r>
            <w:r/>
          </w:p>
        </w:tc>
        <w:tc>
          <w:tcPr>
            <w:tcMar>
              <w:left w:w="15" w:type="dxa"/>
              <w:top w:w="15" w:type="dxa"/>
              <w:right w:w="15" w:type="dxa"/>
            </w:tcMar>
            <w:tcW w:w="1139"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103000</w:t>
            </w:r>
            <w:r>
              <w:rPr>
                <w:rFonts w:hint="eastAsia" w:ascii="仿宋" w:hAnsi="仿宋" w:eastAsia="仿宋" w:cs="仿宋"/>
                <w:sz w:val="24"/>
                <w:szCs w:val="24"/>
                <w:highlight w:val="none"/>
              </w:rPr>
            </w:r>
            <w:r/>
          </w:p>
        </w:tc>
        <w:tc>
          <w:tcPr>
            <w:tcMar>
              <w:left w:w="15" w:type="dxa"/>
              <w:top w:w="15" w:type="dxa"/>
              <w:right w:w="15" w:type="dxa"/>
            </w:tcMar>
            <w:tcW w:w="1125" w:type="dxa"/>
            <w:vAlign w:val="center"/>
            <w:textDirection w:val="lrTb"/>
            <w:noWrap/>
          </w:tcPr>
          <w:p>
            <w:pPr>
              <w:pStyle w:val="651"/>
              <w:rPr>
                <w:rFonts w:ascii="仿宋" w:hAnsi="仿宋" w:eastAsia="仿宋" w:cs="仿宋"/>
                <w:sz w:val="24"/>
                <w:szCs w:val="24"/>
                <w:highlight w:val="none"/>
                <w:lang w:val="en-US"/>
              </w:rPr>
              <w:framePr w:vAnchor="text" w:hAnchor="page" w:xAlign="center" w:y="553"/>
            </w:pPr>
            <w:r>
              <w:rPr>
                <w:rFonts w:hint="eastAsia" w:ascii="仿宋" w:hAnsi="仿宋" w:eastAsia="仿宋" w:cs="仿宋"/>
                <w:sz w:val="24"/>
                <w:szCs w:val="24"/>
                <w:highlight w:val="none"/>
                <w:lang w:val="en-US" w:eastAsia="zh-CN"/>
              </w:rPr>
              <w:t xml:space="preserve"> 103000</w:t>
            </w:r>
            <w:r>
              <w:rPr>
                <w:rFonts w:ascii="仿宋" w:hAnsi="仿宋" w:eastAsia="仿宋" w:cs="仿宋"/>
                <w:sz w:val="24"/>
                <w:szCs w:val="24"/>
                <w:highlight w:val="none"/>
                <w:lang w:val="en-US"/>
              </w:rPr>
            </w:r>
            <w:r/>
          </w:p>
        </w:tc>
        <w:tc>
          <w:tcPr>
            <w:tcMar>
              <w:left w:w="15" w:type="dxa"/>
              <w:top w:w="15" w:type="dxa"/>
              <w:right w:w="15" w:type="dxa"/>
            </w:tcMar>
            <w:tcW w:w="782" w:type="dxa"/>
            <w:vAlign w:val="center"/>
            <w:textDirection w:val="lrTb"/>
            <w:noWrap/>
          </w:tcPr>
          <w:p>
            <w:pPr>
              <w:pStyle w:val="651"/>
              <w:rPr>
                <w:rFonts w:ascii="仿宋" w:hAnsi="仿宋" w:eastAsia="仿宋" w:cs="仿宋"/>
                <w:sz w:val="24"/>
                <w:szCs w:val="24"/>
                <w:highlight w:val="none"/>
                <w:lang w:val="en-US"/>
              </w:rPr>
              <w:framePr w:vAnchor="text" w:hAnchor="page" w:xAlign="center" w:y="553"/>
            </w:pPr>
            <w:r>
              <w:rPr>
                <w:rFonts w:hint="eastAsia" w:ascii="仿宋" w:hAnsi="仿宋" w:eastAsia="仿宋" w:cs="仿宋"/>
                <w:sz w:val="24"/>
                <w:szCs w:val="24"/>
                <w:highlight w:val="none"/>
                <w:lang w:val="en-US" w:eastAsia="zh-CN"/>
              </w:rPr>
              <w:t xml:space="preserve">206000</w:t>
            </w:r>
            <w:r>
              <w:rPr>
                <w:rFonts w:ascii="仿宋" w:hAnsi="仿宋" w:eastAsia="仿宋" w:cs="仿宋"/>
                <w:sz w:val="24"/>
                <w:szCs w:val="24"/>
                <w:highlight w:val="none"/>
                <w:lang w:val="en-US"/>
              </w:rPr>
            </w:r>
            <w:r/>
          </w:p>
        </w:tc>
        <w:tc>
          <w:tcPr>
            <w:tcMar>
              <w:left w:w="15" w:type="dxa"/>
              <w:top w:w="15" w:type="dxa"/>
              <w:right w:w="15" w:type="dxa"/>
            </w:tcMar>
            <w:tcW w:w="1367" w:type="dxa"/>
            <w:vAlign w:val="center"/>
            <w:vMerge w:val="continue"/>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r>
            <w:r/>
          </w:p>
        </w:tc>
      </w:tr>
      <w:tr>
        <w:trPr>
          <w:trHeight w:val="420"/>
        </w:trPr>
        <w:tc>
          <w:tcPr>
            <w:tcMar>
              <w:left w:w="15" w:type="dxa"/>
              <w:top w:w="15" w:type="dxa"/>
              <w:right w:w="15" w:type="dxa"/>
            </w:tcMar>
            <w:tcW w:w="634"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r>
            <w:r/>
          </w:p>
        </w:tc>
        <w:tc>
          <w:tcPr>
            <w:tcMar>
              <w:left w:w="15" w:type="dxa"/>
              <w:top w:w="15" w:type="dxa"/>
              <w:right w:w="15" w:type="dxa"/>
            </w:tcMar>
            <w:tcW w:w="1034"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总计（元）</w:t>
            </w:r>
            <w:r>
              <w:rPr>
                <w:rFonts w:hint="eastAsia" w:ascii="仿宋" w:hAnsi="仿宋" w:eastAsia="仿宋" w:cs="仿宋"/>
                <w:sz w:val="24"/>
                <w:szCs w:val="24"/>
                <w:highlight w:val="none"/>
              </w:rPr>
            </w:r>
            <w:r/>
          </w:p>
        </w:tc>
        <w:tc>
          <w:tcPr>
            <w:gridSpan w:val="4"/>
            <w:tcMar>
              <w:left w:w="15" w:type="dxa"/>
              <w:top w:w="15" w:type="dxa"/>
              <w:right w:w="15" w:type="dxa"/>
            </w:tcMar>
            <w:tcW w:w="5891" w:type="dxa"/>
            <w:vAlign w:val="center"/>
            <w:textDirection w:val="lrTb"/>
            <w:noWrap/>
          </w:tcPr>
          <w:p>
            <w:pPr>
              <w:pStyle w:val="651"/>
              <w:jc w:val="center"/>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rPr>
            </w:r>
            <w:r/>
          </w:p>
        </w:tc>
        <w:tc>
          <w:tcPr>
            <w:tcMar>
              <w:left w:w="15" w:type="dxa"/>
              <w:top w:w="15" w:type="dxa"/>
              <w:right w:w="15" w:type="dxa"/>
            </w:tcMar>
            <w:tcW w:w="1125"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782" w:type="dxa"/>
            <w:vAlign w:val="center"/>
            <w:textDirection w:val="lrTb"/>
            <w:noWrap/>
          </w:tcPr>
          <w:p>
            <w:pPr>
              <w:pStyle w:val="651"/>
              <w:rPr>
                <w:rFonts w:hint="eastAsia" w:ascii="仿宋" w:hAnsi="仿宋" w:eastAsia="仿宋" w:cs="仿宋"/>
                <w:sz w:val="24"/>
                <w:szCs w:val="24"/>
                <w:highlight w:val="none"/>
              </w:rPr>
              <w:framePr w:vAnchor="text" w:hAnchor="page" w:xAlign="center" w:y="553"/>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r>
            <w:r/>
          </w:p>
        </w:tc>
        <w:tc>
          <w:tcPr>
            <w:tcMar>
              <w:left w:w="15" w:type="dxa"/>
              <w:top w:w="15" w:type="dxa"/>
              <w:right w:w="15" w:type="dxa"/>
            </w:tcMar>
            <w:tcW w:w="1367" w:type="dxa"/>
            <w:vAlign w:val="center"/>
            <w:vMerge w:val="continue"/>
            <w:textDirection w:val="lrTb"/>
            <w:noWrap/>
          </w:tcPr>
          <w:p>
            <w:pPr>
              <w:pStyle w:val="651"/>
              <w:rPr>
                <w:rFonts w:hint="eastAsia" w:ascii="仿宋" w:hAnsi="仿宋" w:eastAsia="仿宋" w:cs="仿宋"/>
                <w:sz w:val="24"/>
                <w:szCs w:val="24"/>
                <w:highlight w:val="none"/>
                <w:lang w:val="en-US" w:eastAsia="zh-CN"/>
              </w:rPr>
              <w:framePr w:vAnchor="text" w:hAnchor="page" w:xAlign="center" w:y="553"/>
            </w:pPr>
            <w:r>
              <w:rPr>
                <w:rFonts w:hint="eastAsia" w:ascii="仿宋" w:hAnsi="仿宋" w:eastAsia="仿宋" w:cs="仿宋"/>
                <w:sz w:val="24"/>
                <w:szCs w:val="24"/>
                <w:highlight w:val="none"/>
                <w:lang w:val="en-US" w:eastAsia="zh-CN"/>
              </w:rPr>
            </w:r>
            <w:r/>
          </w:p>
        </w:tc>
      </w:tr>
    </w:tbl>
    <w:p>
      <w:pPr>
        <w:pStyle w:val="66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664"/>
        <w:numPr>
          <w:ilvl w:val="0"/>
          <w:numId w:val="0"/>
        </w:numPr>
        <w:keepLines w:val="0"/>
        <w:keepNext w:val="0"/>
        <w:pageBreakBefore w:val="0"/>
        <w:spacing w:line="520" w:lineRule="exact"/>
        <w:widowControl w:val="off"/>
        <w:rPr>
          <w:rFonts w:hint="eastAsia" w:ascii="仿宋" w:hAnsi="仿宋" w:eastAsia="仿宋"/>
          <w:bCs/>
          <w:sz w:val="28"/>
          <w:szCs w:val="28"/>
          <w:highlight w:val="none"/>
          <w:lang w:val="en-US" w:eastAsia="zh-CN"/>
        </w:rPr>
      </w:pPr>
      <w:r>
        <w:rPr>
          <w:rFonts w:ascii="仿宋" w:hAnsi="仿宋" w:eastAsia="仿宋"/>
          <w:sz w:val="28"/>
          <w:szCs w:val="24"/>
          <w:highlight w:val="none"/>
        </w:rPr>
        <w:t xml:space="preserve">备注：</w:t>
      </w:r>
      <w:r>
        <w:rPr>
          <w:rFonts w:hint="eastAsia" w:ascii="仿宋" w:hAnsi="仿宋" w:eastAsia="仿宋"/>
          <w:bCs/>
          <w:sz w:val="28"/>
          <w:szCs w:val="28"/>
          <w:highlight w:val="none"/>
          <w:lang w:val="en-US" w:eastAsia="zh-CN"/>
        </w:rPr>
        <w:t xml:space="preserve">采购总预算限价962000元（2年），报刊成品运输投递分送由第三方邮政运输班组承接。</w:t>
      </w:r>
      <w:r>
        <w:rPr>
          <w:rFonts w:hint="eastAsia" w:ascii="仿宋" w:hAnsi="仿宋" w:eastAsia="仿宋"/>
          <w:bCs/>
          <w:sz w:val="28"/>
          <w:szCs w:val="28"/>
          <w:highlight w:val="none"/>
          <w:lang w:val="en-US" w:eastAsia="zh-CN"/>
        </w:rPr>
      </w:r>
      <w:r/>
    </w:p>
    <w:p>
      <w:pPr>
        <w:pStyle w:val="664"/>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谈判</w:t>
      </w:r>
      <w:r>
        <w:rPr>
          <w:rFonts w:ascii="仿宋" w:hAnsi="仿宋" w:eastAsia="仿宋"/>
          <w:sz w:val="28"/>
          <w:szCs w:val="24"/>
          <w:highlight w:val="none"/>
        </w:rPr>
        <w:t xml:space="preserve">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谈判</w:t>
      </w:r>
      <w:r>
        <w:rPr>
          <w:rFonts w:ascii="仿宋" w:hAnsi="仿宋" w:eastAsia="仿宋"/>
          <w:sz w:val="28"/>
          <w:szCs w:val="24"/>
          <w:highlight w:val="none"/>
        </w:rPr>
        <w:t xml:space="preserve">文件中另有规定的除外。</w:t>
      </w:r>
      <w:r>
        <w:rPr>
          <w:rFonts w:ascii="仿宋" w:hAnsi="仿宋" w:eastAsia="仿宋"/>
          <w:sz w:val="28"/>
          <w:szCs w:val="24"/>
          <w:highlight w:val="none"/>
        </w:rPr>
      </w:r>
      <w:r/>
    </w:p>
    <w:p>
      <w:pPr>
        <w:pStyle w:val="65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1"/>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51"/>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51"/>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lang w:val="en-US" w:eastAsia="zh-CN"/>
        </w:rPr>
        <w:t xml:space="preserve">三</w:t>
      </w:r>
      <w:r>
        <w:rPr>
          <w:rFonts w:hint="eastAsia" w:ascii="仿宋" w:hAnsi="仿宋" w:eastAsia="仿宋"/>
          <w:b/>
          <w:bCs/>
          <w:sz w:val="32"/>
          <w:szCs w:val="32"/>
          <w:highlight w:val="none"/>
        </w:rPr>
        <w:t xml:space="preserve">、资质审查时供应商必须提交的资格证明文件</w:t>
      </w:r>
      <w:r>
        <w:rPr>
          <w:rFonts w:hint="eastAsia" w:ascii="仿宋" w:hAnsi="仿宋" w:eastAsia="仿宋"/>
          <w:b/>
          <w:bCs/>
          <w:sz w:val="32"/>
          <w:szCs w:val="32"/>
          <w:highlight w:val="none"/>
        </w:rPr>
      </w:r>
      <w:r/>
    </w:p>
    <w:p>
      <w:pPr>
        <w:pStyle w:val="664"/>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rPr>
          <w:rFonts w:hint="eastAsia" w:ascii="仿宋" w:hAnsi="仿宋" w:eastAsia="仿宋"/>
          <w:b/>
          <w:bCs/>
          <w:sz w:val="32"/>
          <w:szCs w:val="32"/>
          <w:highlight w:val="none"/>
        </w:rPr>
      </w:r>
      <w:r/>
    </w:p>
    <w:p>
      <w:pPr>
        <w:pStyle w:val="651"/>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51"/>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51"/>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51"/>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51"/>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1"/>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印刷经营许可证》（含：出版物印刷，新闻出版管理部门颁发)</w:t>
      </w:r>
      <w:r>
        <w:rPr>
          <w:rFonts w:hint="eastAsia" w:ascii="仿宋" w:hAnsi="仿宋" w:eastAsia="仿宋"/>
          <w:sz w:val="28"/>
          <w:szCs w:val="28"/>
          <w:highlight w:val="none"/>
        </w:rPr>
      </w:r>
      <w:r/>
    </w:p>
    <w:p>
      <w:pPr>
        <w:pStyle w:val="651"/>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51"/>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1"/>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1"/>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1"/>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1"/>
        <w:spacing w:line="440" w:lineRule="exact"/>
        <w:rPr>
          <w:rFonts w:hint="eastAsia" w:ascii="仿宋" w:hAnsi="仿宋" w:eastAsia="仿宋"/>
          <w:b/>
          <w:sz w:val="32"/>
          <w:szCs w:val="32"/>
          <w:highlight w:val="none"/>
          <w:lang w:val="en-US" w:eastAsia="zh-CN"/>
        </w:rPr>
      </w:pPr>
      <w:r/>
      <w:bookmarkStart w:id="32" w:name="_Toc157775454"/>
      <w:r>
        <w:rPr>
          <w:rFonts w:hint="eastAsia" w:ascii="仿宋" w:hAnsi="仿宋" w:eastAsia="仿宋"/>
          <w:b/>
          <w:sz w:val="32"/>
          <w:szCs w:val="32"/>
          <w:highlight w:val="none"/>
          <w:lang w:val="en-US" w:eastAsia="zh-CN"/>
        </w:rPr>
      </w:r>
      <w:r/>
    </w:p>
    <w:p>
      <w:pPr>
        <w:pStyle w:val="651"/>
        <w:ind w:firstLine="2557"/>
        <w:spacing w:line="44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lang w:val="en-US" w:eastAsia="zh-CN"/>
        </w:rPr>
      </w:r>
      <w:r/>
    </w:p>
    <w:p>
      <w:pPr>
        <w:pStyle w:val="651"/>
        <w:ind w:firstLine="2557"/>
        <w:spacing w:line="44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lang w:val="en-US" w:eastAsia="zh-CN"/>
        </w:rPr>
      </w:r>
      <w:r/>
    </w:p>
    <w:p>
      <w:pPr>
        <w:pStyle w:val="651"/>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四</w:t>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rPr>
      </w:r>
      <w:r/>
    </w:p>
    <w:p>
      <w:pPr>
        <w:pStyle w:val="651"/>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51"/>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51"/>
        <w:ind w:firstLine="2891"/>
        <w:spacing w:line="640" w:lineRule="exact"/>
        <w:rPr>
          <w:rFonts w:ascii="仿宋" w:hAnsi="仿宋" w:eastAsia="仿宋" w:cs="楷体_GB2312"/>
          <w:b/>
          <w:bCs/>
          <w:sz w:val="32"/>
          <w:szCs w:val="32"/>
          <w:highlight w:val="none"/>
          <w:lang w:val="zh-CN"/>
        </w:rPr>
      </w:pPr>
      <w:r/>
      <w:bookmarkEnd w:id="32"/>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51"/>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51"/>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51"/>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51"/>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651"/>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651"/>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651"/>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51"/>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51"/>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51"/>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713"/>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51"/>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51"/>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参加谈判的，必须附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rPr>
          <w:rFonts w:hint="eastAsia" w:ascii="仿宋" w:hAnsi="仿宋" w:eastAsia="仿宋"/>
          <w:color w:val="000000"/>
          <w:sz w:val="28"/>
          <w:szCs w:val="28"/>
          <w:highlight w:val="none"/>
        </w:rPr>
        <w:t xml:space="preserve">法定代表人授权其他人参加谈判的，仅需填写“授权委托书”。</w:t>
      </w:r>
      <w:r>
        <w:rPr>
          <w:rFonts w:hint="eastAsia" w:ascii="仿宋" w:hAnsi="仿宋" w:eastAsia="仿宋"/>
          <w:bCs/>
          <w:color w:val="000000"/>
          <w:sz w:val="28"/>
          <w:szCs w:val="28"/>
          <w:highlight w:val="none"/>
        </w:rPr>
      </w:r>
      <w:r/>
    </w:p>
    <w:p>
      <w:pPr>
        <w:pStyle w:val="651"/>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51"/>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51"/>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51"/>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51"/>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51"/>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盱眙县融媒体中心</w:t>
      </w:r>
      <w:r>
        <w:rPr>
          <w:rFonts w:hint="eastAsia" w:ascii="仿宋" w:hAnsi="仿宋" w:eastAsia="仿宋"/>
          <w:bCs/>
          <w:color w:val="000000"/>
          <w:sz w:val="30"/>
          <w:szCs w:val="28"/>
          <w:highlight w:val="none"/>
        </w:rPr>
        <w:t xml:space="preserve">:</w:t>
      </w:r>
      <w:r>
        <w:rPr>
          <w:rFonts w:hint="eastAsia" w:ascii="仿宋" w:hAnsi="仿宋" w:eastAsia="仿宋"/>
          <w:bCs/>
          <w:color w:val="000000"/>
          <w:sz w:val="30"/>
          <w:szCs w:val="28"/>
          <w:highlight w:val="none"/>
        </w:rPr>
      </w:r>
      <w:r/>
    </w:p>
    <w:p>
      <w:pPr>
        <w:pStyle w:val="651"/>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51"/>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1"/>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51"/>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51"/>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1"/>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val="en-US" w:eastAsia="zh-CN"/>
        </w:rPr>
        <w:t xml:space="preserve">采购人</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651"/>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51"/>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651"/>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1"/>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51"/>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51"/>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受托人参加谈判的，必须附受托人身份证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rPr>
          <w:rFonts w:hint="eastAsia" w:ascii="仿宋" w:hAnsi="仿宋" w:eastAsia="仿宋"/>
          <w:color w:val="000000"/>
          <w:sz w:val="28"/>
          <w:szCs w:val="28"/>
          <w:highlight w:val="none"/>
        </w:rPr>
        <w:t xml:space="preserve">法定代表人直接参加谈判的，仅需填写“法定代表人资格证明”。</w:t>
      </w:r>
      <w:r>
        <w:rPr>
          <w:rFonts w:hint="eastAsia" w:ascii="仿宋" w:hAnsi="仿宋" w:eastAsia="仿宋"/>
          <w:color w:val="000000"/>
          <w:sz w:val="28"/>
          <w:szCs w:val="28"/>
          <w:highlight w:val="none"/>
        </w:rPr>
      </w:r>
      <w:r/>
    </w:p>
    <w:p>
      <w:pPr>
        <w:pStyle w:val="651"/>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51"/>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51"/>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符合《政府采购法》第二十二条规定条件的声明函</w:t>
      </w:r>
      <w:r>
        <w:rPr>
          <w:rFonts w:hint="eastAsia" w:ascii="仿宋" w:hAnsi="仿宋" w:eastAsia="仿宋"/>
          <w:b/>
          <w:bCs/>
          <w:sz w:val="32"/>
          <w:highlight w:val="none"/>
        </w:rPr>
      </w:r>
      <w:r/>
    </w:p>
    <w:p>
      <w:pPr>
        <w:pStyle w:val="656"/>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盱眙县融媒体中心</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51"/>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5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51"/>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51"/>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51"/>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1"/>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1"/>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51"/>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51"/>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1"/>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1"/>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51"/>
        <w:numPr>
          <w:ilvl w:val="0"/>
          <w:numId w:val="3"/>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盱眙县融媒体中心</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51"/>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51"/>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51"/>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5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65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51"/>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（二）企业声明函（服务）</w:t>
      </w:r>
      <w:r>
        <w:rPr>
          <w:rFonts w:hint="eastAsia" w:ascii="仿宋" w:hAnsi="仿宋" w:eastAsia="仿宋"/>
          <w:b/>
          <w:bCs/>
          <w:sz w:val="32"/>
          <w:szCs w:val="32"/>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盱眙县融媒体中心</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5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51"/>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51"/>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51"/>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5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65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5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56"/>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651"/>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656"/>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盱眙县融媒体中心</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56"/>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56"/>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56"/>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56"/>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56"/>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651"/>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51"/>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51"/>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51"/>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65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51"/>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tabs>
        <w:tab w:val="center" w:pos="4153" w:leader="none"/>
        <w:tab w:val="right" w:pos="8306" w:leader="none"/>
      </w:tabs>
      <w:rPr>
        <w:rStyle w:val="677"/>
      </w:rPr>
      <w:framePr w:wrap="around" w:vAnchor="text" w:hAnchor="margin" w:xAlign="center" w:y="1"/>
    </w:pPr>
    <w:r>
      <w:fldChar w:fldCharType="begin"/>
    </w:r>
    <w:r>
      <w:rPr>
        <w:rStyle w:val="677"/>
      </w:rPr>
      <w:instrText xml:space="preserve">PAGE  </w:instrText>
    </w:r>
    <w:r>
      <w:fldChar w:fldCharType="separate"/>
    </w:r>
    <w:r>
      <w:rPr>
        <w:rStyle w:val="677"/>
      </w:rPr>
      <w:t xml:space="preserve">8</w:t>
    </w:r>
    <w:r>
      <w:fldChar w:fldCharType="end"/>
    </w:r>
    <w:r>
      <w:rPr>
        <w:rStyle w:val="677"/>
      </w:rPr>
    </w:r>
    <w:r/>
  </w:p>
  <w:p>
    <w:pPr>
      <w:pStyle w:val="6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tabs>
        <w:tab w:val="center" w:pos="4153" w:leader="none"/>
        <w:tab w:val="right" w:pos="8306" w:leader="none"/>
      </w:tabs>
      <w:rPr>
        <w:rStyle w:val="677"/>
      </w:rPr>
      <w:framePr w:wrap="around" w:vAnchor="text" w:hAnchor="margin" w:xAlign="center" w:y="1"/>
    </w:pPr>
    <w:r>
      <w:fldChar w:fldCharType="begin"/>
    </w:r>
    <w:r>
      <w:rPr>
        <w:rStyle w:val="677"/>
      </w:rPr>
      <w:instrText xml:space="preserve">PAGE  </w:instrText>
    </w:r>
    <w:r>
      <w:fldChar w:fldCharType="end"/>
    </w:r>
    <w:r>
      <w:rPr>
        <w:rStyle w:val="677"/>
      </w:rPr>
    </w:r>
    <w:r/>
  </w:p>
  <w:p>
    <w:pPr>
      <w:pStyle w:val="6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52"/>
      <w:isLgl w:val="false"/>
      <w:suff w:val="tab"/>
      <w:lvlText w:val="%1"/>
      <w:lvlJc w:val="left"/>
      <w:pPr>
        <w:pStyle w:val="651"/>
        <w:ind w:left="432" w:hanging="432"/>
        <w:tabs>
          <w:tab w:val="num" w:pos="432" w:leader="none"/>
        </w:tabs>
      </w:pPr>
    </w:lvl>
    <w:lvl w:ilvl="1">
      <w:start w:val="1"/>
      <w:numFmt w:val="decimal"/>
      <w:isLgl w:val="false"/>
      <w:suff w:val="tab"/>
      <w:lvlText w:val="%1.%2"/>
      <w:lvlJc w:val="left"/>
      <w:pPr>
        <w:pStyle w:val="651"/>
        <w:ind w:left="576" w:hanging="576"/>
        <w:tabs>
          <w:tab w:val="num" w:pos="576" w:leader="none"/>
        </w:tabs>
      </w:pPr>
    </w:lvl>
    <w:lvl w:ilvl="2">
      <w:start w:val="1"/>
      <w:numFmt w:val="decimal"/>
      <w:pStyle w:val="653"/>
      <w:isLgl w:val="false"/>
      <w:suff w:val="tab"/>
      <w:lvlText w:val="%1.%2.%3"/>
      <w:lvlJc w:val="left"/>
      <w:pPr>
        <w:pStyle w:val="651"/>
        <w:ind w:left="720" w:hanging="720"/>
        <w:tabs>
          <w:tab w:val="num" w:pos="720" w:leader="none"/>
        </w:tabs>
      </w:pPr>
    </w:lvl>
    <w:lvl w:ilvl="3">
      <w:start w:val="1"/>
      <w:numFmt w:val="decimal"/>
      <w:isLgl w:val="false"/>
      <w:suff w:val="tab"/>
      <w:lvlText w:val="%1.%2.%3.%4"/>
      <w:lvlJc w:val="left"/>
      <w:pPr>
        <w:pStyle w:val="651"/>
        <w:ind w:left="864" w:hanging="864"/>
        <w:tabs>
          <w:tab w:val="num" w:pos="864" w:leader="none"/>
        </w:tabs>
      </w:pPr>
    </w:lvl>
    <w:lvl w:ilvl="4">
      <w:start w:val="1"/>
      <w:numFmt w:val="decimal"/>
      <w:isLgl w:val="false"/>
      <w:suff w:val="tab"/>
      <w:lvlText w:val="%1.%2.%3.%4.%5"/>
      <w:lvlJc w:val="left"/>
      <w:pPr>
        <w:pStyle w:val="651"/>
        <w:ind w:left="1008" w:hanging="1008"/>
        <w:tabs>
          <w:tab w:val="num" w:pos="1008" w:leader="none"/>
        </w:tabs>
      </w:pPr>
    </w:lvl>
    <w:lvl w:ilvl="5">
      <w:start w:val="1"/>
      <w:numFmt w:val="decimal"/>
      <w:isLgl w:val="false"/>
      <w:suff w:val="tab"/>
      <w:lvlText w:val="%1.%2.%3.%4.%5.%6"/>
      <w:lvlJc w:val="left"/>
      <w:pPr>
        <w:pStyle w:val="651"/>
        <w:ind w:left="1152" w:hanging="1152"/>
        <w:tabs>
          <w:tab w:val="num" w:pos="1152" w:leader="none"/>
        </w:tabs>
      </w:pPr>
    </w:lvl>
    <w:lvl w:ilvl="6">
      <w:start w:val="1"/>
      <w:numFmt w:val="decimal"/>
      <w:isLgl w:val="false"/>
      <w:suff w:val="tab"/>
      <w:lvlText w:val="%1.%2.%3.%4.%5.%6.%7"/>
      <w:lvlJc w:val="left"/>
      <w:pPr>
        <w:pStyle w:val="651"/>
        <w:ind w:left="1296" w:hanging="1296"/>
        <w:tabs>
          <w:tab w:val="num" w:pos="1296" w:leader="none"/>
        </w:tabs>
      </w:pPr>
    </w:lvl>
    <w:lvl w:ilvl="7">
      <w:start w:val="1"/>
      <w:numFmt w:val="decimal"/>
      <w:isLgl w:val="false"/>
      <w:suff w:val="tab"/>
      <w:lvlText w:val="%1.%2.%3.%4.%5.%6.%7.%8"/>
      <w:lvlJc w:val="left"/>
      <w:pPr>
        <w:pStyle w:val="651"/>
        <w:ind w:left="1440" w:hanging="1440"/>
        <w:tabs>
          <w:tab w:val="num" w:pos="1440" w:leader="none"/>
        </w:tabs>
      </w:pPr>
    </w:lvl>
    <w:lvl w:ilvl="8">
      <w:start w:val="1"/>
      <w:numFmt w:val="decimal"/>
      <w:isLgl w:val="false"/>
      <w:suff w:val="tab"/>
      <w:lvlText w:val="%1.%2.%3.%4.%5.%6.%7.%8.%9"/>
      <w:lvlJc w:val="left"/>
      <w:pPr>
        <w:pStyle w:val="651"/>
        <w:ind w:left="1584" w:hanging="1584"/>
        <w:tabs>
          <w:tab w:val="num" w:pos="1584" w:leader="none"/>
        </w:tabs>
      </w:pPr>
    </w:lvl>
  </w:abstractNum>
  <w:abstractNum w:abstractNumId="1">
    <w:multiLevelType w:val="hybridMultilevel"/>
    <w:lvl w:ilvl="0">
      <w:start w:val="2"/>
      <w:numFmt w:val="decimal"/>
      <w:isLgl w:val="false"/>
      <w:suff w:val="nothing"/>
      <w:lvlText w:val="%1、"/>
      <w:lvlJc w:val="left"/>
      <w:pPr>
        <w:pStyle w:val="651"/>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6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1"/>
    <w:link w:val="651"/>
    <w:qFormat/>
    <w:pPr>
      <w:jc w:val="both"/>
      <w:widowControl w:val="off"/>
    </w:pPr>
    <w:rPr>
      <w:sz w:val="21"/>
      <w:szCs w:val="24"/>
      <w:lang w:val="en-US" w:eastAsia="zh-CN" w:bidi="ar-SA"/>
    </w:rPr>
  </w:style>
  <w:style w:type="paragraph" w:styleId="652">
    <w:name w:val="标题 1"/>
    <w:basedOn w:val="651"/>
    <w:next w:val="651"/>
    <w:link w:val="651"/>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53">
    <w:name w:val="标题 3"/>
    <w:basedOn w:val="651"/>
    <w:next w:val="656"/>
    <w:link w:val="65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654">
    <w:name w:val="默认段落字体"/>
    <w:next w:val="654"/>
    <w:link w:val="651"/>
    <w:semiHidden/>
  </w:style>
  <w:style w:type="table" w:styleId="655">
    <w:name w:val="普通表格"/>
    <w:next w:val="655"/>
    <w:link w:val="651"/>
    <w:semiHidden/>
    <w:tblPr/>
  </w:style>
  <w:style w:type="paragraph" w:styleId="656">
    <w:name w:val="正文缩进"/>
    <w:basedOn w:val="651"/>
    <w:next w:val="656"/>
    <w:link w:val="657"/>
    <w:pPr>
      <w:ind w:firstLine="420"/>
    </w:pPr>
  </w:style>
  <w:style w:type="character" w:styleId="657">
    <w:name w:val="正文缩进 Char"/>
    <w:next w:val="657"/>
    <w:link w:val="656"/>
    <w:rPr>
      <w:sz w:val="21"/>
      <w:szCs w:val="24"/>
    </w:rPr>
  </w:style>
  <w:style w:type="paragraph" w:styleId="658">
    <w:name w:val="文档结构图"/>
    <w:basedOn w:val="651"/>
    <w:next w:val="658"/>
    <w:link w:val="651"/>
    <w:semiHidden/>
    <w:pPr>
      <w:shd w:val="clear" w:color="auto" w:fill="000080"/>
    </w:pPr>
  </w:style>
  <w:style w:type="paragraph" w:styleId="659">
    <w:name w:val="正文文本 3"/>
    <w:basedOn w:val="651"/>
    <w:next w:val="659"/>
    <w:link w:val="651"/>
    <w:pPr>
      <w:jc w:val="center"/>
    </w:pPr>
    <w:rPr>
      <w:rFonts w:eastAsia="黑体"/>
      <w:sz w:val="72"/>
    </w:rPr>
  </w:style>
  <w:style w:type="paragraph" w:styleId="660">
    <w:name w:val="正文文本"/>
    <w:basedOn w:val="651"/>
    <w:next w:val="660"/>
    <w:link w:val="651"/>
    <w:pPr>
      <w:jc w:val="center"/>
    </w:pPr>
    <w:rPr>
      <w:rFonts w:eastAsia="仿宋_GB2312"/>
      <w:sz w:val="28"/>
    </w:rPr>
  </w:style>
  <w:style w:type="paragraph" w:styleId="661">
    <w:name w:val="正文文本缩进"/>
    <w:basedOn w:val="651"/>
    <w:next w:val="661"/>
    <w:link w:val="662"/>
    <w:pPr>
      <w:ind w:left="420"/>
      <w:spacing w:after="120"/>
    </w:pPr>
  </w:style>
  <w:style w:type="character" w:styleId="662">
    <w:name w:val="正文文本缩进 Char"/>
    <w:next w:val="662"/>
    <w:link w:val="661"/>
    <w:rPr>
      <w:sz w:val="21"/>
      <w:szCs w:val="24"/>
    </w:rPr>
  </w:style>
  <w:style w:type="paragraph" w:styleId="663">
    <w:name w:val="文本块"/>
    <w:basedOn w:val="651"/>
    <w:next w:val="663"/>
    <w:link w:val="651"/>
    <w:pPr>
      <w:ind w:left="420" w:right="33"/>
      <w:jc w:val="left"/>
    </w:pPr>
    <w:rPr>
      <w:sz w:val="24"/>
      <w:szCs w:val="20"/>
    </w:rPr>
  </w:style>
  <w:style w:type="paragraph" w:styleId="664">
    <w:name w:val="纯文本"/>
    <w:basedOn w:val="651"/>
    <w:next w:val="664"/>
    <w:link w:val="665"/>
    <w:rPr>
      <w:rFonts w:ascii="宋体" w:hAnsi="Courier New"/>
      <w:szCs w:val="20"/>
    </w:rPr>
  </w:style>
  <w:style w:type="character" w:styleId="665">
    <w:name w:val="纯文本 Char"/>
    <w:next w:val="665"/>
    <w:link w:val="664"/>
    <w:rPr>
      <w:rFonts w:ascii="宋体" w:hAnsi="Courier New" w:eastAsia="宋体"/>
      <w:sz w:val="21"/>
      <w:lang w:val="en-US" w:eastAsia="zh-CN" w:bidi="ar-SA"/>
    </w:rPr>
  </w:style>
  <w:style w:type="paragraph" w:styleId="666">
    <w:name w:val="日期"/>
    <w:basedOn w:val="651"/>
    <w:next w:val="651"/>
    <w:link w:val="651"/>
    <w:pPr>
      <w:ind w:left="100"/>
    </w:pPr>
    <w:rPr>
      <w:rFonts w:ascii="黑体" w:eastAsia="黑体"/>
      <w:sz w:val="72"/>
    </w:rPr>
  </w:style>
  <w:style w:type="paragraph" w:styleId="667">
    <w:name w:val="正文文本缩进 2"/>
    <w:basedOn w:val="651"/>
    <w:next w:val="667"/>
    <w:link w:val="651"/>
    <w:pPr>
      <w:ind w:right="-2" w:firstLine="540"/>
      <w:tabs>
        <w:tab w:val="left" w:pos="9741" w:leader="none"/>
      </w:tabs>
    </w:pPr>
    <w:rPr>
      <w:rFonts w:eastAsia="仿宋_GB2312"/>
      <w:sz w:val="28"/>
    </w:rPr>
  </w:style>
  <w:style w:type="paragraph" w:styleId="668">
    <w:name w:val="批注框文本"/>
    <w:basedOn w:val="651"/>
    <w:next w:val="668"/>
    <w:link w:val="651"/>
    <w:semiHidden/>
    <w:rPr>
      <w:sz w:val="18"/>
      <w:szCs w:val="18"/>
    </w:rPr>
  </w:style>
  <w:style w:type="paragraph" w:styleId="669">
    <w:name w:val="页脚"/>
    <w:basedOn w:val="651"/>
    <w:next w:val="669"/>
    <w:link w:val="651"/>
    <w:pPr>
      <w:jc w:val="left"/>
      <w:tabs>
        <w:tab w:val="center" w:pos="4153" w:leader="none"/>
        <w:tab w:val="right" w:pos="8306" w:leader="none"/>
      </w:tabs>
    </w:pPr>
    <w:rPr>
      <w:sz w:val="18"/>
      <w:szCs w:val="18"/>
    </w:rPr>
  </w:style>
  <w:style w:type="paragraph" w:styleId="670">
    <w:name w:val="页眉"/>
    <w:basedOn w:val="651"/>
    <w:next w:val="670"/>
    <w:link w:val="651"/>
    <w:pPr>
      <w:jc w:val="center"/>
      <w:tabs>
        <w:tab w:val="center" w:pos="4153" w:leader="none"/>
        <w:tab w:val="right" w:pos="8306" w:leader="none"/>
      </w:tabs>
      <w:pBdr>
        <w:bottom w:val="single" w:color="000000" w:sz="6" w:space="1"/>
      </w:pBdr>
    </w:pPr>
    <w:rPr>
      <w:sz w:val="18"/>
      <w:szCs w:val="18"/>
    </w:rPr>
  </w:style>
  <w:style w:type="paragraph" w:styleId="671">
    <w:name w:val="正文文本缩进 3"/>
    <w:basedOn w:val="651"/>
    <w:next w:val="671"/>
    <w:link w:val="651"/>
    <w:pPr>
      <w:ind w:firstLine="435"/>
    </w:pPr>
    <w:rPr>
      <w:rFonts w:ascii="仿宋_GB2312" w:hAnsi="宋体" w:eastAsia="仿宋_GB2312"/>
      <w:sz w:val="28"/>
    </w:rPr>
  </w:style>
  <w:style w:type="paragraph" w:styleId="672">
    <w:name w:val="正文文本 2"/>
    <w:basedOn w:val="651"/>
    <w:next w:val="672"/>
    <w:link w:val="651"/>
    <w:rPr>
      <w:rFonts w:ascii="仿宋_GB2312" w:eastAsia="仿宋_GB2312"/>
      <w:sz w:val="28"/>
    </w:rPr>
  </w:style>
  <w:style w:type="paragraph" w:styleId="673">
    <w:name w:val="普通(网站)"/>
    <w:basedOn w:val="651"/>
    <w:next w:val="673"/>
    <w:link w:val="651"/>
    <w:uiPriority w:val="99"/>
    <w:unhideWhenUsed/>
    <w:pPr>
      <w:jc w:val="left"/>
      <w:spacing w:before="100" w:beforeAutospacing="1" w:after="100" w:afterAutospacing="1"/>
    </w:pPr>
    <w:rPr>
      <w:sz w:val="24"/>
      <w:szCs w:val="20"/>
    </w:rPr>
  </w:style>
  <w:style w:type="paragraph" w:styleId="674">
    <w:name w:val="正文首行缩进 2"/>
    <w:basedOn w:val="661"/>
    <w:next w:val="674"/>
    <w:link w:val="675"/>
    <w:pPr>
      <w:ind w:firstLine="420"/>
    </w:pPr>
  </w:style>
  <w:style w:type="character" w:styleId="675">
    <w:name w:val="正文首行缩进 2 Char"/>
    <w:basedOn w:val="662"/>
    <w:next w:val="675"/>
    <w:link w:val="674"/>
  </w:style>
  <w:style w:type="table" w:styleId="676">
    <w:name w:val="网格型"/>
    <w:basedOn w:val="655"/>
    <w:next w:val="676"/>
    <w:link w:val="65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77">
    <w:name w:val="页码"/>
    <w:next w:val="677"/>
    <w:link w:val="651"/>
  </w:style>
  <w:style w:type="character" w:styleId="678">
    <w:name w:val="已访问的超链接"/>
    <w:next w:val="678"/>
    <w:link w:val="651"/>
    <w:rPr>
      <w:color w:val="800080"/>
      <w:u w:val="single"/>
    </w:rPr>
  </w:style>
  <w:style w:type="character" w:styleId="679">
    <w:name w:val="超链接"/>
    <w:next w:val="679"/>
    <w:link w:val="651"/>
    <w:rPr>
      <w:color w:val="0000ff"/>
      <w:u w:val="single"/>
    </w:rPr>
  </w:style>
  <w:style w:type="character" w:styleId="680">
    <w:name w:val="纯文本 Char1, Char Char,普通文字 Char Char,纯文本 Char Char,小 Char1"/>
    <w:next w:val="680"/>
    <w:link w:val="651"/>
    <w:rPr>
      <w:rFonts w:ascii="宋体" w:hAnsi="Courier New"/>
      <w:sz w:val="21"/>
    </w:rPr>
  </w:style>
  <w:style w:type="paragraph" w:styleId="681">
    <w:name w:val="font6"/>
    <w:basedOn w:val="651"/>
    <w:next w:val="681"/>
    <w:link w:val="651"/>
    <w:pPr>
      <w:jc w:val="left"/>
      <w:spacing w:before="100" w:beforeAutospacing="1" w:after="100" w:afterAutospacing="1"/>
      <w:widowControl/>
    </w:pPr>
    <w:rPr>
      <w:rFonts w:eastAsia="Arial Unicode MS"/>
      <w:sz w:val="18"/>
      <w:szCs w:val="18"/>
    </w:rPr>
  </w:style>
  <w:style w:type="paragraph" w:styleId="682">
    <w:name w:val="列出段落"/>
    <w:basedOn w:val="651"/>
    <w:next w:val="682"/>
    <w:link w:val="651"/>
    <w:uiPriority w:val="99"/>
    <w:qFormat/>
    <w:pPr>
      <w:ind w:firstLine="420"/>
    </w:pPr>
  </w:style>
  <w:style w:type="paragraph" w:styleId="683">
    <w:name w:val="xl43"/>
    <w:basedOn w:val="651"/>
    <w:next w:val="683"/>
    <w:link w:val="651"/>
    <w:pPr>
      <w:jc w:val="left"/>
      <w:spacing w:before="100" w:beforeAutospacing="1" w:after="100" w:afterAutospacing="1"/>
      <w:widowControl/>
    </w:pPr>
    <w:rPr>
      <w:rFonts w:ascii="Arial Unicode MS" w:hAnsi="Arial Unicode MS" w:eastAsia="Arial Unicode MS"/>
      <w:sz w:val="24"/>
    </w:rPr>
  </w:style>
  <w:style w:type="paragraph" w:styleId="684">
    <w:name w:val="xl68"/>
    <w:basedOn w:val="651"/>
    <w:next w:val="684"/>
    <w:link w:val="65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85">
    <w:name w:val="xl53"/>
    <w:basedOn w:val="651"/>
    <w:next w:val="685"/>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686">
    <w:name w:val="xl29"/>
    <w:basedOn w:val="651"/>
    <w:next w:val="686"/>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7">
    <w:name w:val="xl46"/>
    <w:basedOn w:val="651"/>
    <w:next w:val="687"/>
    <w:link w:val="651"/>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688">
    <w:name w:val="xl39"/>
    <w:basedOn w:val="651"/>
    <w:next w:val="688"/>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9">
    <w:name w:val="xl59"/>
    <w:basedOn w:val="651"/>
    <w:next w:val="689"/>
    <w:link w:val="65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90">
    <w:name w:val="xl33"/>
    <w:basedOn w:val="651"/>
    <w:next w:val="690"/>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691">
    <w:name w:val="xl86"/>
    <w:basedOn w:val="651"/>
    <w:next w:val="691"/>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2">
    <w:name w:val="font7"/>
    <w:basedOn w:val="651"/>
    <w:next w:val="692"/>
    <w:link w:val="651"/>
    <w:pPr>
      <w:jc w:val="left"/>
      <w:spacing w:before="100" w:beforeAutospacing="1" w:after="100" w:afterAutospacing="1"/>
      <w:widowControl/>
    </w:pPr>
    <w:rPr>
      <w:rFonts w:eastAsia="Arial Unicode MS"/>
      <w:sz w:val="18"/>
      <w:szCs w:val="18"/>
    </w:rPr>
  </w:style>
  <w:style w:type="paragraph" w:styleId="693">
    <w:name w:val="Char Char Char Char"/>
    <w:basedOn w:val="658"/>
    <w:next w:val="693"/>
    <w:link w:val="651"/>
    <w:pPr>
      <w:spacing w:line="360" w:lineRule="auto"/>
    </w:pPr>
    <w:rPr>
      <w:rFonts w:ascii="Tahoma" w:hAnsi="Tahoma"/>
      <w:sz w:val="24"/>
    </w:rPr>
  </w:style>
  <w:style w:type="paragraph" w:styleId="694">
    <w:name w:val="xl67"/>
    <w:basedOn w:val="651"/>
    <w:next w:val="694"/>
    <w:link w:val="651"/>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695">
    <w:name w:val="xl45"/>
    <w:basedOn w:val="651"/>
    <w:next w:val="695"/>
    <w:link w:val="651"/>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696">
    <w:name w:val="xl72"/>
    <w:basedOn w:val="651"/>
    <w:next w:val="696"/>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7">
    <w:name w:val="标书正文格式"/>
    <w:next w:val="697"/>
    <w:link w:val="651"/>
    <w:pPr>
      <w:ind w:firstLine="480"/>
      <w:jc w:val="both"/>
      <w:spacing w:line="360" w:lineRule="auto"/>
    </w:pPr>
    <w:rPr>
      <w:rFonts w:ascii="宋体" w:hAnsi="宋体"/>
      <w:sz w:val="24"/>
      <w:szCs w:val="24"/>
      <w:lang w:val="en-US" w:eastAsia="zh-CN" w:bidi="ar-SA"/>
    </w:rPr>
  </w:style>
  <w:style w:type="paragraph" w:styleId="698">
    <w:name w:val="xl60"/>
    <w:basedOn w:val="651"/>
    <w:next w:val="698"/>
    <w:link w:val="65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699">
    <w:name w:val="xl84"/>
    <w:basedOn w:val="651"/>
    <w:next w:val="699"/>
    <w:link w:val="651"/>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0">
    <w:name w:val="xl57"/>
    <w:basedOn w:val="651"/>
    <w:next w:val="700"/>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01">
    <w:name w:val="xl69"/>
    <w:basedOn w:val="651"/>
    <w:next w:val="701"/>
    <w:link w:val="65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2">
    <w:name w:val="font12"/>
    <w:basedOn w:val="651"/>
    <w:next w:val="702"/>
    <w:link w:val="651"/>
    <w:pPr>
      <w:jc w:val="left"/>
      <w:spacing w:before="100" w:beforeAutospacing="1" w:after="100" w:afterAutospacing="1"/>
      <w:widowControl/>
    </w:pPr>
    <w:rPr>
      <w:rFonts w:eastAsia="Arial Unicode MS"/>
      <w:color w:val="333333"/>
      <w:sz w:val="18"/>
      <w:szCs w:val="18"/>
    </w:rPr>
  </w:style>
  <w:style w:type="paragraph" w:styleId="703">
    <w:name w:val="font8"/>
    <w:basedOn w:val="651"/>
    <w:next w:val="703"/>
    <w:link w:val="651"/>
    <w:pPr>
      <w:jc w:val="left"/>
      <w:spacing w:before="100" w:beforeAutospacing="1" w:after="100" w:afterAutospacing="1"/>
      <w:widowControl/>
    </w:pPr>
    <w:rPr>
      <w:rFonts w:eastAsia="Arial Unicode MS"/>
      <w:sz w:val="18"/>
      <w:szCs w:val="18"/>
    </w:rPr>
  </w:style>
  <w:style w:type="paragraph" w:styleId="704">
    <w:name w:val="xl47"/>
    <w:basedOn w:val="651"/>
    <w:next w:val="704"/>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05">
    <w:name w:val=" Char Char Char Char Char Char Char Char"/>
    <w:basedOn w:val="651"/>
    <w:next w:val="705"/>
    <w:link w:val="651"/>
    <w:pPr>
      <w:jc w:val="left"/>
      <w:spacing w:after="160" w:line="240" w:lineRule="exact"/>
      <w:widowControl/>
    </w:pPr>
    <w:rPr>
      <w:rFonts w:ascii="Verdana" w:hAnsi="Verdana"/>
      <w:sz w:val="20"/>
      <w:szCs w:val="20"/>
      <w:lang w:eastAsia="en-US"/>
    </w:rPr>
  </w:style>
  <w:style w:type="paragraph" w:styleId="706">
    <w:name w:val="xl74"/>
    <w:basedOn w:val="651"/>
    <w:next w:val="706"/>
    <w:link w:val="65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7">
    <w:name w:val="xl77"/>
    <w:basedOn w:val="651"/>
    <w:next w:val="707"/>
    <w:link w:val="65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08">
    <w:name w:val="xl71"/>
    <w:basedOn w:val="651"/>
    <w:next w:val="708"/>
    <w:link w:val="65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09">
    <w:name w:val="xl75"/>
    <w:basedOn w:val="651"/>
    <w:next w:val="709"/>
    <w:link w:val="651"/>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10">
    <w:name w:val="xl38"/>
    <w:basedOn w:val="651"/>
    <w:next w:val="710"/>
    <w:link w:val="6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11">
    <w:name w:val="xl51"/>
    <w:basedOn w:val="651"/>
    <w:next w:val="711"/>
    <w:link w:val="651"/>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12">
    <w:name w:val="xl78"/>
    <w:basedOn w:val="651"/>
    <w:next w:val="712"/>
    <w:link w:val="65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13">
    <w:name w:val="普通正文"/>
    <w:basedOn w:val="651"/>
    <w:next w:val="713"/>
    <w:link w:val="651"/>
    <w:pPr>
      <w:ind w:firstLine="480"/>
      <w:jc w:val="left"/>
      <w:spacing w:before="120" w:after="120" w:line="360" w:lineRule="auto"/>
    </w:pPr>
    <w:rPr>
      <w:rFonts w:ascii="Arial" w:hAnsi="Arial"/>
      <w:sz w:val="24"/>
    </w:rPr>
  </w:style>
  <w:style w:type="paragraph" w:styleId="714">
    <w:name w:val="Char"/>
    <w:basedOn w:val="651"/>
    <w:next w:val="714"/>
    <w:link w:val="651"/>
    <w:pPr>
      <w:tabs>
        <w:tab w:val="left" w:pos="360" w:leader="none"/>
      </w:tabs>
    </w:pPr>
    <w:rPr>
      <w:sz w:val="24"/>
    </w:rPr>
  </w:style>
  <w:style w:type="paragraph" w:styleId="715">
    <w:name w:val="xl85"/>
    <w:basedOn w:val="651"/>
    <w:next w:val="715"/>
    <w:link w:val="651"/>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16">
    <w:name w:val="xl81"/>
    <w:basedOn w:val="651"/>
    <w:next w:val="716"/>
    <w:link w:val="651"/>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17">
    <w:name w:val="xl56"/>
    <w:basedOn w:val="651"/>
    <w:next w:val="717"/>
    <w:link w:val="65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18">
    <w:name w:val="xl63"/>
    <w:basedOn w:val="651"/>
    <w:next w:val="718"/>
    <w:link w:val="651"/>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19">
    <w:name w:val="font10"/>
    <w:basedOn w:val="651"/>
    <w:next w:val="719"/>
    <w:link w:val="651"/>
    <w:pPr>
      <w:jc w:val="left"/>
      <w:spacing w:before="100" w:beforeAutospacing="1" w:after="100" w:afterAutospacing="1"/>
      <w:widowControl/>
    </w:pPr>
    <w:rPr>
      <w:rFonts w:eastAsia="Arial Unicode MS"/>
      <w:sz w:val="18"/>
      <w:szCs w:val="18"/>
    </w:rPr>
  </w:style>
  <w:style w:type="paragraph" w:styleId="720">
    <w:name w:val="xl62"/>
    <w:basedOn w:val="651"/>
    <w:next w:val="720"/>
    <w:link w:val="65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1">
    <w:name w:val="xl32"/>
    <w:basedOn w:val="651"/>
    <w:next w:val="721"/>
    <w:link w:val="6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2">
    <w:name w:val="xl37"/>
    <w:basedOn w:val="651"/>
    <w:next w:val="722"/>
    <w:link w:val="651"/>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3">
    <w:name w:val="xl54"/>
    <w:basedOn w:val="651"/>
    <w:next w:val="723"/>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24">
    <w:name w:val="font11"/>
    <w:basedOn w:val="651"/>
    <w:next w:val="724"/>
    <w:link w:val="651"/>
    <w:pPr>
      <w:jc w:val="left"/>
      <w:spacing w:before="100" w:beforeAutospacing="1" w:after="100" w:afterAutospacing="1"/>
      <w:widowControl/>
    </w:pPr>
    <w:rPr>
      <w:rFonts w:hint="eastAsia" w:ascii="宋体" w:hAnsi="宋体"/>
      <w:color w:val="333333"/>
      <w:sz w:val="18"/>
      <w:szCs w:val="18"/>
    </w:rPr>
  </w:style>
  <w:style w:type="paragraph" w:styleId="725">
    <w:name w:val="xl79"/>
    <w:basedOn w:val="651"/>
    <w:next w:val="725"/>
    <w:link w:val="651"/>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26">
    <w:name w:val="xl42"/>
    <w:basedOn w:val="651"/>
    <w:next w:val="726"/>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27">
    <w:name w:val="xl73"/>
    <w:basedOn w:val="651"/>
    <w:next w:val="727"/>
    <w:link w:val="65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28">
    <w:name w:val="xl36"/>
    <w:basedOn w:val="651"/>
    <w:next w:val="728"/>
    <w:link w:val="651"/>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9">
    <w:name w:val="xl44"/>
    <w:basedOn w:val="651"/>
    <w:next w:val="729"/>
    <w:link w:val="651"/>
    <w:pPr>
      <w:jc w:val="right"/>
      <w:spacing w:before="100" w:beforeAutospacing="1" w:after="100" w:afterAutospacing="1"/>
      <w:widowControl/>
    </w:pPr>
    <w:rPr>
      <w:rFonts w:ascii="Arial Unicode MS" w:hAnsi="Arial Unicode MS" w:eastAsia="Arial Unicode MS"/>
      <w:sz w:val="24"/>
    </w:rPr>
  </w:style>
  <w:style w:type="paragraph" w:styleId="730">
    <w:name w:val="xl35"/>
    <w:basedOn w:val="651"/>
    <w:next w:val="730"/>
    <w:link w:val="651"/>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31">
    <w:name w:val=" Char Char Char Char Char Char Char Char Char Char Char Char Char"/>
    <w:basedOn w:val="651"/>
    <w:next w:val="731"/>
    <w:link w:val="651"/>
    <w:pPr>
      <w:jc w:val="left"/>
      <w:spacing w:after="160" w:line="240" w:lineRule="exact"/>
      <w:widowControl/>
    </w:pPr>
    <w:rPr>
      <w:rFonts w:ascii="Verdana" w:hAnsi="Verdana"/>
      <w:sz w:val="20"/>
      <w:szCs w:val="20"/>
      <w:lang w:eastAsia="en-US"/>
    </w:rPr>
  </w:style>
  <w:style w:type="paragraph" w:styleId="732">
    <w:name w:val="xl64"/>
    <w:basedOn w:val="651"/>
    <w:next w:val="732"/>
    <w:link w:val="65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33">
    <w:name w:val="xl41"/>
    <w:basedOn w:val="651"/>
    <w:next w:val="733"/>
    <w:link w:val="65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4">
    <w:name w:val="xl52"/>
    <w:basedOn w:val="651"/>
    <w:next w:val="734"/>
    <w:link w:val="651"/>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35">
    <w:name w:val="xl80"/>
    <w:basedOn w:val="651"/>
    <w:next w:val="735"/>
    <w:link w:val="651"/>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36">
    <w:name w:val="xl31"/>
    <w:basedOn w:val="651"/>
    <w:next w:val="736"/>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37">
    <w:name w:val="xl30"/>
    <w:basedOn w:val="651"/>
    <w:next w:val="737"/>
    <w:link w:val="651"/>
    <w:pPr>
      <w:jc w:val="left"/>
      <w:spacing w:before="100" w:beforeAutospacing="1" w:after="100" w:afterAutospacing="1"/>
      <w:widowControl/>
    </w:pPr>
    <w:rPr>
      <w:rFonts w:ascii="Arial Unicode MS" w:hAnsi="Arial Unicode MS" w:eastAsia="Arial Unicode MS"/>
      <w:sz w:val="18"/>
      <w:szCs w:val="18"/>
    </w:rPr>
  </w:style>
  <w:style w:type="paragraph" w:styleId="738">
    <w:name w:val="Default"/>
    <w:next w:val="738"/>
    <w:link w:val="651"/>
    <w:pPr>
      <w:widowControl w:val="off"/>
    </w:pPr>
    <w:rPr>
      <w:rFonts w:ascii="仿宋" w:eastAsia="仿宋" w:cs="仿宋"/>
      <w:color w:val="000000"/>
      <w:sz w:val="24"/>
      <w:szCs w:val="24"/>
      <w:lang w:val="en-US" w:eastAsia="zh-CN" w:bidi="ar-SA"/>
    </w:rPr>
  </w:style>
  <w:style w:type="paragraph" w:styleId="739">
    <w:name w:val="xl34"/>
    <w:basedOn w:val="651"/>
    <w:next w:val="739"/>
    <w:link w:val="651"/>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40">
    <w:name w:val=" Char"/>
    <w:basedOn w:val="658"/>
    <w:next w:val="740"/>
    <w:link w:val="651"/>
    <w:pPr>
      <w:spacing w:line="360" w:lineRule="auto"/>
    </w:pPr>
    <w:rPr>
      <w:rFonts w:ascii="Tahoma" w:hAnsi="Tahoma"/>
      <w:sz w:val="24"/>
    </w:rPr>
  </w:style>
  <w:style w:type="paragraph" w:styleId="741">
    <w:name w:val="font9"/>
    <w:basedOn w:val="651"/>
    <w:next w:val="741"/>
    <w:link w:val="651"/>
    <w:pPr>
      <w:jc w:val="left"/>
      <w:spacing w:before="100" w:beforeAutospacing="1" w:after="100" w:afterAutospacing="1"/>
      <w:widowControl/>
    </w:pPr>
    <w:rPr>
      <w:rFonts w:eastAsia="Arial Unicode MS"/>
      <w:b/>
      <w:bCs/>
      <w:color w:val="000000"/>
      <w:sz w:val="18"/>
      <w:szCs w:val="18"/>
    </w:rPr>
  </w:style>
  <w:style w:type="paragraph" w:styleId="742">
    <w:name w:val="xl58"/>
    <w:basedOn w:val="651"/>
    <w:next w:val="742"/>
    <w:link w:val="65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43">
    <w:name w:val="xl70"/>
    <w:basedOn w:val="651"/>
    <w:next w:val="743"/>
    <w:link w:val="65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4">
    <w:name w:val="xl28"/>
    <w:basedOn w:val="651"/>
    <w:next w:val="744"/>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5">
    <w:name w:val="xl48"/>
    <w:basedOn w:val="651"/>
    <w:next w:val="745"/>
    <w:link w:val="651"/>
    <w:pPr>
      <w:jc w:val="center"/>
      <w:spacing w:before="100" w:beforeAutospacing="1" w:after="100" w:afterAutospacing="1"/>
      <w:widowControl/>
    </w:pPr>
    <w:rPr>
      <w:rFonts w:ascii="Arial Unicode MS" w:hAnsi="Arial Unicode MS" w:eastAsia="Arial Unicode MS"/>
      <w:sz w:val="28"/>
      <w:szCs w:val="28"/>
    </w:rPr>
  </w:style>
  <w:style w:type="paragraph" w:styleId="746">
    <w:name w:val="font5"/>
    <w:basedOn w:val="651"/>
    <w:next w:val="746"/>
    <w:link w:val="651"/>
    <w:pPr>
      <w:jc w:val="left"/>
      <w:spacing w:before="100" w:beforeAutospacing="1" w:after="100" w:afterAutospacing="1"/>
      <w:widowControl/>
    </w:pPr>
    <w:rPr>
      <w:rFonts w:hint="eastAsia" w:ascii="宋体" w:hAnsi="宋体"/>
      <w:sz w:val="18"/>
      <w:szCs w:val="18"/>
    </w:rPr>
  </w:style>
  <w:style w:type="paragraph" w:styleId="747">
    <w:name w:val="默认段落字体 Para Char Char Char Char Char Char Char Char Char1 Char Char Char Char Char Char Char"/>
    <w:basedOn w:val="658"/>
    <w:next w:val="747"/>
    <w:link w:val="651"/>
    <w:rPr>
      <w:rFonts w:ascii="Tahoma" w:hAnsi="Tahoma"/>
      <w:sz w:val="24"/>
    </w:rPr>
  </w:style>
  <w:style w:type="paragraph" w:styleId="748">
    <w:name w:val="xl66"/>
    <w:basedOn w:val="651"/>
    <w:next w:val="748"/>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9">
    <w:name w:val="font13"/>
    <w:basedOn w:val="651"/>
    <w:next w:val="749"/>
    <w:link w:val="651"/>
    <w:pPr>
      <w:jc w:val="left"/>
      <w:spacing w:before="100" w:beforeAutospacing="1" w:after="100" w:afterAutospacing="1"/>
      <w:widowControl/>
    </w:pPr>
    <w:rPr>
      <w:rFonts w:eastAsia="Arial Unicode MS"/>
      <w:b/>
      <w:bCs/>
      <w:sz w:val="18"/>
      <w:szCs w:val="18"/>
    </w:rPr>
  </w:style>
  <w:style w:type="paragraph" w:styleId="750">
    <w:name w:val="xl83"/>
    <w:basedOn w:val="651"/>
    <w:next w:val="750"/>
    <w:link w:val="651"/>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1">
    <w:name w:val="xl61"/>
    <w:basedOn w:val="651"/>
    <w:next w:val="751"/>
    <w:link w:val="65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2">
    <w:name w:val="xl76"/>
    <w:basedOn w:val="651"/>
    <w:next w:val="752"/>
    <w:link w:val="65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53">
    <w:name w:val="xl55"/>
    <w:basedOn w:val="651"/>
    <w:next w:val="753"/>
    <w:link w:val="65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54">
    <w:name w:val="xl40"/>
    <w:basedOn w:val="651"/>
    <w:next w:val="754"/>
    <w:link w:val="65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5">
    <w:name w:val="xl65"/>
    <w:basedOn w:val="651"/>
    <w:next w:val="755"/>
    <w:link w:val="651"/>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56">
    <w:name w:val="xl49"/>
    <w:basedOn w:val="651"/>
    <w:next w:val="756"/>
    <w:link w:val="65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57">
    <w:name w:val="xl50"/>
    <w:basedOn w:val="651"/>
    <w:next w:val="757"/>
    <w:link w:val="65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8">
    <w:name w:val="xl82"/>
    <w:basedOn w:val="651"/>
    <w:next w:val="758"/>
    <w:link w:val="65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59">
    <w:name w:val="首行缩进"/>
    <w:basedOn w:val="651"/>
    <w:next w:val="759"/>
    <w:link w:val="651"/>
    <w:qFormat/>
    <w:pPr>
      <w:ind w:firstLine="420"/>
      <w:spacing w:line="360" w:lineRule="auto"/>
    </w:pPr>
    <w:rPr>
      <w:sz w:val="20"/>
    </w:rPr>
  </w:style>
  <w:style w:type="character" w:styleId="5963" w:default="1">
    <w:name w:val="Default Paragraph Font"/>
    <w:uiPriority w:val="1"/>
    <w:semiHidden/>
    <w:unhideWhenUsed/>
  </w:style>
  <w:style w:type="numbering" w:styleId="5964" w:default="1">
    <w:name w:val="No List"/>
    <w:uiPriority w:val="99"/>
    <w:semiHidden/>
    <w:unhideWhenUsed/>
  </w:style>
  <w:style w:type="table" w:styleId="5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段海曦</cp:lastModifiedBy>
  <cp:revision>2</cp:revision>
  <dcterms:created xsi:type="dcterms:W3CDTF">2024-05-10T07:09:00Z</dcterms:created>
  <dcterms:modified xsi:type="dcterms:W3CDTF">2025-11-27T08:38:52Z</dcterms:modified>
</cp:coreProperties>
</file>